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42B7F02E" w:rsidR="0012388D" w:rsidRDefault="00772BDC" w:rsidP="00CA5734">
      <w:pPr>
        <w:rPr>
          <w:rFonts w:cs="Arial"/>
        </w:rPr>
      </w:pPr>
      <w:bookmarkStart w:id="0" w:name="_GoBack"/>
      <w:bookmarkEnd w:id="0"/>
      <w:r>
        <w:rPr>
          <w:rFonts w:cs="Arial"/>
          <w:noProof/>
          <w:lang w:eastAsia="en-GB" w:bidi="ar-SA"/>
        </w:rPr>
        <w:drawing>
          <wp:inline distT="0" distB="0" distL="0" distR="0" wp14:anchorId="61145F28" wp14:editId="2585E29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16BEE36" w14:textId="77777777" w:rsidR="007C31FF" w:rsidRDefault="007C31FF" w:rsidP="007C31FF">
      <w:pPr>
        <w:widowControl/>
      </w:pPr>
    </w:p>
    <w:p w14:paraId="649E6475" w14:textId="77777777" w:rsidR="007C31FF" w:rsidRDefault="007C31FF" w:rsidP="007C31FF">
      <w:pPr>
        <w:rPr>
          <w:b/>
          <w:sz w:val="28"/>
          <w:szCs w:val="28"/>
        </w:rPr>
      </w:pPr>
      <w:r>
        <w:rPr>
          <w:b/>
          <w:sz w:val="28"/>
          <w:szCs w:val="28"/>
        </w:rPr>
        <w:t>13 December 2016</w:t>
      </w:r>
    </w:p>
    <w:p w14:paraId="2B80CA5A" w14:textId="77777777" w:rsidR="007C31FF" w:rsidRDefault="007C31FF" w:rsidP="007C31FF">
      <w:pPr>
        <w:rPr>
          <w:b/>
          <w:sz w:val="28"/>
          <w:szCs w:val="28"/>
        </w:rPr>
      </w:pPr>
      <w:r>
        <w:rPr>
          <w:b/>
          <w:sz w:val="28"/>
          <w:szCs w:val="28"/>
        </w:rPr>
        <w:t>[31–16]</w:t>
      </w:r>
    </w:p>
    <w:p w14:paraId="06DF9D1D" w14:textId="77777777" w:rsidR="007C31FF" w:rsidRDefault="007C31FF" w:rsidP="007C31FF">
      <w:pPr>
        <w:widowControl/>
      </w:pPr>
    </w:p>
    <w:p w14:paraId="7C26C197" w14:textId="7AAB8196" w:rsidR="00E9657D" w:rsidRPr="00756A52" w:rsidRDefault="00E9657D" w:rsidP="00E9657D">
      <w:pPr>
        <w:pStyle w:val="FSTitle"/>
      </w:pPr>
      <w:r w:rsidRPr="00756A52">
        <w:t xml:space="preserve">Approval Report – </w:t>
      </w:r>
      <w:r w:rsidR="00EB729A">
        <w:t>Application A112</w:t>
      </w:r>
      <w:r w:rsidR="00137F1D" w:rsidRPr="00756A52">
        <w:t>8</w:t>
      </w:r>
    </w:p>
    <w:p w14:paraId="75DDC8D8" w14:textId="77777777" w:rsidR="00E9657D" w:rsidRPr="00756A52" w:rsidRDefault="00E9657D" w:rsidP="00E9657D"/>
    <w:p w14:paraId="586F0492" w14:textId="1EA4A7F4" w:rsidR="00E9657D" w:rsidRPr="00756A52" w:rsidRDefault="00E9657D" w:rsidP="00E9657D">
      <w:pPr>
        <w:rPr>
          <w:rFonts w:cs="Arial"/>
          <w:sz w:val="28"/>
          <w:szCs w:val="28"/>
        </w:rPr>
      </w:pPr>
      <w:r w:rsidRPr="00756A52">
        <w:rPr>
          <w:rFonts w:cs="Arial"/>
          <w:sz w:val="28"/>
          <w:szCs w:val="28"/>
        </w:rPr>
        <w:t xml:space="preserve">Food derived from </w:t>
      </w:r>
      <w:r w:rsidR="00EB729A">
        <w:rPr>
          <w:rFonts w:cs="Arial"/>
          <w:sz w:val="28"/>
          <w:szCs w:val="28"/>
        </w:rPr>
        <w:t>reduced Acrylamide Potential &amp; Browning Potato Line E12</w:t>
      </w:r>
    </w:p>
    <w:p w14:paraId="360F49DA" w14:textId="77777777" w:rsidR="00E9657D" w:rsidRPr="00756A52" w:rsidRDefault="00E9657D" w:rsidP="00E9657D">
      <w:pPr>
        <w:pBdr>
          <w:bottom w:val="single" w:sz="12" w:space="1" w:color="auto"/>
        </w:pBdr>
        <w:tabs>
          <w:tab w:val="left" w:pos="1140"/>
        </w:tabs>
        <w:rPr>
          <w:rFonts w:cs="Arial"/>
          <w:bCs/>
        </w:rPr>
      </w:pPr>
    </w:p>
    <w:p w14:paraId="039110DB" w14:textId="77777777" w:rsidR="00E9657D" w:rsidRPr="00756A52" w:rsidRDefault="00E9657D" w:rsidP="00E9657D"/>
    <w:p w14:paraId="6F40612C" w14:textId="116B86C0" w:rsidR="00E9657D" w:rsidRPr="00756A52" w:rsidRDefault="00E9657D" w:rsidP="00E9657D">
      <w:pPr>
        <w:rPr>
          <w:szCs w:val="22"/>
        </w:rPr>
      </w:pPr>
      <w:r w:rsidRPr="00756A52">
        <w:rPr>
          <w:szCs w:val="22"/>
        </w:rPr>
        <w:t>Food Standards Australia New Zealand (FSANZ) has assesse</w:t>
      </w:r>
      <w:r w:rsidR="001A29A7" w:rsidRPr="00756A52">
        <w:rPr>
          <w:szCs w:val="22"/>
        </w:rPr>
        <w:t xml:space="preserve">d an application made by </w:t>
      </w:r>
      <w:r w:rsidR="00EB729A">
        <w:rPr>
          <w:szCs w:val="22"/>
        </w:rPr>
        <w:t>SPS International Inc</w:t>
      </w:r>
      <w:r w:rsidRPr="00756A52">
        <w:rPr>
          <w:szCs w:val="22"/>
        </w:rPr>
        <w:t xml:space="preserve"> seeking permission </w:t>
      </w:r>
      <w:r w:rsidR="001A29A7" w:rsidRPr="00756A52">
        <w:rPr>
          <w:szCs w:val="22"/>
        </w:rPr>
        <w:t>for foo</w:t>
      </w:r>
      <w:r w:rsidR="00EB729A">
        <w:rPr>
          <w:szCs w:val="22"/>
        </w:rPr>
        <w:t>d derived from potato line E12</w:t>
      </w:r>
      <w:r w:rsidR="001A29A7" w:rsidRPr="00756A52">
        <w:rPr>
          <w:szCs w:val="22"/>
        </w:rPr>
        <w:t xml:space="preserve">, </w:t>
      </w:r>
      <w:r w:rsidR="00EB729A">
        <w:rPr>
          <w:szCs w:val="22"/>
        </w:rPr>
        <w:t>the tubers of which are</w:t>
      </w:r>
      <w:r w:rsidR="001A29A7" w:rsidRPr="00756A52">
        <w:rPr>
          <w:szCs w:val="22"/>
        </w:rPr>
        <w:t xml:space="preserve"> geneti</w:t>
      </w:r>
      <w:r w:rsidR="00EB729A">
        <w:rPr>
          <w:szCs w:val="22"/>
        </w:rPr>
        <w:t xml:space="preserve">cally modified to </w:t>
      </w:r>
      <w:r w:rsidR="00EB729A">
        <w:rPr>
          <w:rFonts w:cs="Arial"/>
          <w:color w:val="000000"/>
          <w:szCs w:val="22"/>
          <w:lang w:eastAsia="en-AU"/>
        </w:rPr>
        <w:t>show less</w:t>
      </w:r>
      <w:r w:rsidR="00EB729A" w:rsidRPr="007E4D86">
        <w:rPr>
          <w:rFonts w:cs="Arial"/>
          <w:color w:val="000000"/>
          <w:szCs w:val="22"/>
          <w:lang w:eastAsia="en-AU"/>
        </w:rPr>
        <w:t xml:space="preserve"> browning when they are bruised, cut or damaged (referred to as bla</w:t>
      </w:r>
      <w:r w:rsidR="00EB729A">
        <w:rPr>
          <w:rFonts w:cs="Arial"/>
          <w:color w:val="000000"/>
          <w:szCs w:val="22"/>
          <w:lang w:eastAsia="en-AU"/>
        </w:rPr>
        <w:t xml:space="preserve">ckspot bruising) and </w:t>
      </w:r>
      <w:r w:rsidR="00EB729A" w:rsidRPr="007E4D86">
        <w:rPr>
          <w:rFonts w:cs="Arial"/>
          <w:color w:val="000000"/>
          <w:szCs w:val="22"/>
          <w:lang w:eastAsia="en-AU"/>
        </w:rPr>
        <w:t xml:space="preserve">to produce </w:t>
      </w:r>
      <w:r w:rsidR="00EB729A">
        <w:rPr>
          <w:rFonts w:cs="Arial"/>
          <w:color w:val="000000"/>
          <w:szCs w:val="22"/>
          <w:lang w:eastAsia="en-AU"/>
        </w:rPr>
        <w:t xml:space="preserve">less </w:t>
      </w:r>
      <w:r w:rsidR="00EB729A" w:rsidRPr="007E4D86">
        <w:rPr>
          <w:rFonts w:cs="Arial"/>
          <w:color w:val="000000"/>
          <w:szCs w:val="22"/>
          <w:lang w:eastAsia="en-AU"/>
        </w:rPr>
        <w:t xml:space="preserve">acrylamide when </w:t>
      </w:r>
      <w:r w:rsidR="00EB729A">
        <w:rPr>
          <w:rFonts w:cs="Arial"/>
          <w:color w:val="000000"/>
          <w:szCs w:val="22"/>
          <w:lang w:eastAsia="en-AU"/>
        </w:rPr>
        <w:t xml:space="preserve">they are </w:t>
      </w:r>
      <w:r w:rsidR="00EB729A" w:rsidRPr="007E4D86">
        <w:rPr>
          <w:rFonts w:cs="Arial"/>
          <w:color w:val="000000"/>
          <w:szCs w:val="22"/>
          <w:lang w:eastAsia="en-AU"/>
        </w:rPr>
        <w:t>cooked at high temperatures.</w:t>
      </w:r>
    </w:p>
    <w:p w14:paraId="13DCB6FE" w14:textId="77777777" w:rsidR="00E9657D" w:rsidRPr="00756A52" w:rsidRDefault="00E9657D" w:rsidP="00E9657D">
      <w:pPr>
        <w:rPr>
          <w:szCs w:val="22"/>
        </w:rPr>
      </w:pPr>
    </w:p>
    <w:p w14:paraId="1564F83B" w14:textId="066D720A" w:rsidR="00E9657D" w:rsidRPr="00756A52" w:rsidRDefault="001A29A7" w:rsidP="00E9657D">
      <w:pPr>
        <w:rPr>
          <w:szCs w:val="22"/>
        </w:rPr>
      </w:pPr>
      <w:r w:rsidRPr="00756A52">
        <w:rPr>
          <w:szCs w:val="22"/>
        </w:rPr>
        <w:t xml:space="preserve">On </w:t>
      </w:r>
      <w:r w:rsidR="00EB729A">
        <w:rPr>
          <w:szCs w:val="22"/>
        </w:rPr>
        <w:t>19 August</w:t>
      </w:r>
      <w:r w:rsidR="00137F1D" w:rsidRPr="00756A52">
        <w:rPr>
          <w:szCs w:val="22"/>
        </w:rPr>
        <w:t xml:space="preserve"> 2016</w:t>
      </w:r>
      <w:r w:rsidR="0059100E" w:rsidRPr="00756A52">
        <w:rPr>
          <w:szCs w:val="22"/>
        </w:rPr>
        <w:t>,</w:t>
      </w:r>
      <w:r w:rsidR="00E9657D" w:rsidRPr="00756A52">
        <w:rPr>
          <w:szCs w:val="22"/>
        </w:rPr>
        <w:t xml:space="preserve"> FSANZ sought submissions on a draft variation to </w:t>
      </w:r>
      <w:r w:rsidR="00D63B33" w:rsidRPr="00756A52">
        <w:rPr>
          <w:szCs w:val="22"/>
        </w:rPr>
        <w:t>Schedule 26</w:t>
      </w:r>
      <w:r w:rsidR="00E9657D" w:rsidRPr="00756A52">
        <w:rPr>
          <w:szCs w:val="22"/>
        </w:rPr>
        <w:t xml:space="preserve"> and published an associated report. FSANZ </w:t>
      </w:r>
      <w:r w:rsidR="00E9657D" w:rsidRPr="004E17C2">
        <w:rPr>
          <w:szCs w:val="22"/>
        </w:rPr>
        <w:t xml:space="preserve">received </w:t>
      </w:r>
      <w:r w:rsidR="00DB27A1">
        <w:rPr>
          <w:szCs w:val="22"/>
        </w:rPr>
        <w:t>15</w:t>
      </w:r>
      <w:r w:rsidR="00E9657D" w:rsidRPr="004E17C2">
        <w:rPr>
          <w:szCs w:val="22"/>
        </w:rPr>
        <w:t xml:space="preserve"> submissions.</w:t>
      </w:r>
    </w:p>
    <w:p w14:paraId="5D93AD9F" w14:textId="77777777" w:rsidR="00E9657D" w:rsidRPr="00756A52" w:rsidRDefault="00E9657D" w:rsidP="00E9657D">
      <w:pPr>
        <w:rPr>
          <w:szCs w:val="22"/>
        </w:rPr>
      </w:pPr>
    </w:p>
    <w:p w14:paraId="4C72C357" w14:textId="77777777" w:rsidR="007C31FF" w:rsidRPr="004F764B" w:rsidRDefault="007C31FF" w:rsidP="007C31FF">
      <w:r w:rsidRPr="004F764B">
        <w:t xml:space="preserve">FSANZ approved the draft variation on 6 December 2016. The </w:t>
      </w:r>
      <w:r w:rsidRPr="004F764B">
        <w:rPr>
          <w:rFonts w:cs="Helvetica"/>
          <w:lang w:val="en-AU"/>
        </w:rPr>
        <w:t xml:space="preserve">Australia and New Zealand Ministerial Forum on Food </w:t>
      </w:r>
      <w:r w:rsidRPr="004F764B">
        <w:rPr>
          <w:rFonts w:cs="Arial"/>
        </w:rPr>
        <w:t>Regulation</w:t>
      </w:r>
      <w:r w:rsidRPr="004F764B">
        <w:rPr>
          <w:rFonts w:cs="Helvetica"/>
          <w:lang w:val="en-AU"/>
        </w:rPr>
        <w:t xml:space="preserve"> </w:t>
      </w:r>
      <w:r w:rsidRPr="004F764B">
        <w:rPr>
          <w:rFonts w:cs="Arial"/>
        </w:rPr>
        <w:t>(Forum)</w:t>
      </w:r>
      <w:r w:rsidRPr="004F764B">
        <w:t xml:space="preserve"> was notified of FSANZ’s decision on </w:t>
      </w:r>
    </w:p>
    <w:p w14:paraId="69BCC65B" w14:textId="77777777" w:rsidR="007C31FF" w:rsidRPr="004F764B" w:rsidRDefault="007C31FF" w:rsidP="007C31FF">
      <w:r w:rsidRPr="004F764B">
        <w:t>12 December 2016.</w:t>
      </w:r>
    </w:p>
    <w:p w14:paraId="0031A12F" w14:textId="77777777" w:rsidR="00E9657D" w:rsidRDefault="00E9657D" w:rsidP="00E9657D"/>
    <w:p w14:paraId="0B013F26" w14:textId="77777777" w:rsidR="00E9657D" w:rsidRPr="00756A52" w:rsidRDefault="00E9657D" w:rsidP="00E9657D">
      <w:r w:rsidRPr="00756A52">
        <w:t xml:space="preserve">This Report is provided pursuant to paragraph 33(1)(b) of the </w:t>
      </w:r>
      <w:r w:rsidRPr="00756A52">
        <w:rPr>
          <w:i/>
        </w:rPr>
        <w:t>Food Standards Australia New Zealand Act 1991</w:t>
      </w:r>
      <w:r w:rsidRPr="00756A52">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D4713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70999357"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B6633F" w14:textId="77777777" w:rsidR="00CE59AA" w:rsidRPr="006E10A1" w:rsidRDefault="00CE59AA" w:rsidP="00CE59AA">
      <w:pPr>
        <w:rPr>
          <w:rFonts w:cs="Arial"/>
          <w:sz w:val="20"/>
          <w:szCs w:val="20"/>
        </w:rPr>
      </w:pPr>
    </w:p>
    <w:p w14:paraId="0800A5BB" w14:textId="77777777" w:rsidR="00183B79" w:rsidRPr="007C31FF"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7C31FF">
        <w:rPr>
          <w:rFonts w:ascii="Arial" w:hAnsi="Arial" w:cs="Arial"/>
          <w:b w:val="0"/>
          <w:bCs w:val="0"/>
          <w:caps w:val="0"/>
          <w:smallCaps/>
        </w:rPr>
        <w:fldChar w:fldCharType="begin"/>
      </w:r>
      <w:r w:rsidRPr="007C31FF">
        <w:rPr>
          <w:rFonts w:ascii="Arial" w:hAnsi="Arial" w:cs="Arial"/>
        </w:rPr>
        <w:instrText xml:space="preserve"> TOC \h \z \t "Heading 1,1,Heading 2,2,Heading 3,3" </w:instrText>
      </w:r>
      <w:r w:rsidRPr="007C31FF">
        <w:rPr>
          <w:rFonts w:ascii="Arial" w:hAnsi="Arial" w:cs="Arial"/>
          <w:b w:val="0"/>
          <w:bCs w:val="0"/>
          <w:caps w:val="0"/>
          <w:smallCaps/>
        </w:rPr>
        <w:fldChar w:fldCharType="separate"/>
      </w:r>
      <w:hyperlink w:anchor="_Toc463450483" w:history="1">
        <w:r w:rsidR="00183B79" w:rsidRPr="007C31FF">
          <w:rPr>
            <w:rStyle w:val="Hyperlink"/>
            <w:rFonts w:ascii="Arial" w:hAnsi="Arial" w:cs="Arial"/>
            <w:noProof/>
          </w:rPr>
          <w:t>Executive summary</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_Toc463450483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w:t>
        </w:r>
        <w:r w:rsidR="00183B79" w:rsidRPr="007C31FF">
          <w:rPr>
            <w:rFonts w:ascii="Arial" w:hAnsi="Arial" w:cs="Arial"/>
            <w:noProof/>
            <w:webHidden/>
          </w:rPr>
          <w:fldChar w:fldCharType="end"/>
        </w:r>
      </w:hyperlink>
    </w:p>
    <w:p w14:paraId="1BE2A731" w14:textId="77777777" w:rsidR="00183B79" w:rsidRPr="007C31FF" w:rsidRDefault="0014738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450484" w:history="1">
        <w:r w:rsidR="00183B79" w:rsidRPr="007C31FF">
          <w:rPr>
            <w:rStyle w:val="Hyperlink"/>
            <w:rFonts w:ascii="Arial" w:hAnsi="Arial" w:cs="Arial"/>
            <w:noProof/>
          </w:rPr>
          <w:t>1</w:t>
        </w:r>
        <w:r w:rsidR="00183B79" w:rsidRPr="007C31FF">
          <w:rPr>
            <w:rFonts w:ascii="Arial" w:eastAsiaTheme="minorEastAsia" w:hAnsi="Arial" w:cs="Arial"/>
            <w:b w:val="0"/>
            <w:bCs w:val="0"/>
            <w:caps w:val="0"/>
            <w:noProof/>
            <w:sz w:val="22"/>
            <w:szCs w:val="22"/>
            <w:lang w:eastAsia="en-GB" w:bidi="ar-SA"/>
          </w:rPr>
          <w:tab/>
        </w:r>
        <w:r w:rsidR="00183B79" w:rsidRPr="007C31FF">
          <w:rPr>
            <w:rStyle w:val="Hyperlink"/>
            <w:rFonts w:ascii="Arial" w:hAnsi="Arial" w:cs="Arial"/>
            <w:noProof/>
          </w:rPr>
          <w:t>Introduction</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_Toc463450484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3</w:t>
        </w:r>
        <w:r w:rsidR="00183B79" w:rsidRPr="007C31FF">
          <w:rPr>
            <w:rFonts w:ascii="Arial" w:hAnsi="Arial" w:cs="Arial"/>
            <w:noProof/>
            <w:webHidden/>
          </w:rPr>
          <w:fldChar w:fldCharType="end"/>
        </w:r>
      </w:hyperlink>
    </w:p>
    <w:p w14:paraId="6134B560"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85" w:history="1">
        <w:r w:rsidR="00183B79" w:rsidRPr="007C31FF">
          <w:rPr>
            <w:rStyle w:val="Hyperlink"/>
            <w:rFonts w:ascii="Arial" w:hAnsi="Arial" w:cs="Arial"/>
            <w:noProof/>
          </w:rPr>
          <w:t>1.1</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The Applicant</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_Toc463450485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3</w:t>
        </w:r>
        <w:r w:rsidR="00183B79" w:rsidRPr="007C31FF">
          <w:rPr>
            <w:rFonts w:ascii="Arial" w:hAnsi="Arial" w:cs="Arial"/>
            <w:noProof/>
            <w:webHidden/>
          </w:rPr>
          <w:fldChar w:fldCharType="end"/>
        </w:r>
      </w:hyperlink>
    </w:p>
    <w:p w14:paraId="3E1F1504"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86" w:history="1">
        <w:r w:rsidR="00183B79" w:rsidRPr="007C31FF">
          <w:rPr>
            <w:rStyle w:val="Hyperlink"/>
            <w:rFonts w:ascii="Arial" w:hAnsi="Arial" w:cs="Arial"/>
            <w:noProof/>
          </w:rPr>
          <w:t>1.2</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The Application</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_Toc463450486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3</w:t>
        </w:r>
        <w:r w:rsidR="00183B79" w:rsidRPr="007C31FF">
          <w:rPr>
            <w:rFonts w:ascii="Arial" w:hAnsi="Arial" w:cs="Arial"/>
            <w:noProof/>
            <w:webHidden/>
          </w:rPr>
          <w:fldChar w:fldCharType="end"/>
        </w:r>
      </w:hyperlink>
    </w:p>
    <w:p w14:paraId="49761EEF"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87" w:history="1">
        <w:r w:rsidR="00183B79" w:rsidRPr="007C31FF">
          <w:rPr>
            <w:rStyle w:val="Hyperlink"/>
            <w:rFonts w:ascii="Arial" w:hAnsi="Arial" w:cs="Arial"/>
            <w:noProof/>
          </w:rPr>
          <w:t>1.3</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The current Standard</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_Toc463450487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3</w:t>
        </w:r>
        <w:r w:rsidR="00183B79" w:rsidRPr="007C31FF">
          <w:rPr>
            <w:rFonts w:ascii="Arial" w:hAnsi="Arial" w:cs="Arial"/>
            <w:noProof/>
            <w:webHidden/>
          </w:rPr>
          <w:fldChar w:fldCharType="end"/>
        </w:r>
      </w:hyperlink>
    </w:p>
    <w:p w14:paraId="538D808E"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88" w:history="1">
        <w:r w:rsidR="00183B79" w:rsidRPr="007C31FF">
          <w:rPr>
            <w:rStyle w:val="Hyperlink"/>
            <w:rFonts w:ascii="Arial" w:hAnsi="Arial" w:cs="Arial"/>
            <w:noProof/>
            <w:u w:color="FFFF00"/>
          </w:rPr>
          <w:t>1.4</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u w:color="FFFF00"/>
          </w:rPr>
          <w:t>Reasons for accepting the Application</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_Toc463450488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7689973B"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89" w:history="1">
        <w:r w:rsidR="00183B79" w:rsidRPr="007C31FF">
          <w:rPr>
            <w:rStyle w:val="Hyperlink"/>
            <w:rFonts w:ascii="Arial" w:hAnsi="Arial" w:cs="Arial"/>
            <w:noProof/>
          </w:rPr>
          <w:t>1.5</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Procedure for assessment</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_Toc463450489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177BB5DC"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90" w:history="1">
        <w:r w:rsidR="00183B79" w:rsidRPr="007C31FF">
          <w:rPr>
            <w:rStyle w:val="Hyperlink"/>
            <w:rFonts w:ascii="Arial" w:hAnsi="Arial" w:cs="Arial"/>
            <w:noProof/>
          </w:rPr>
          <w:t>1.6</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Decision</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_Toc463450490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7FFC8352" w14:textId="77777777" w:rsidR="00183B79" w:rsidRPr="007C31FF" w:rsidRDefault="0014738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450491" w:history="1">
        <w:r w:rsidR="00183B79" w:rsidRPr="007C31FF">
          <w:rPr>
            <w:rStyle w:val="Hyperlink"/>
            <w:rFonts w:ascii="Arial" w:hAnsi="Arial" w:cs="Arial"/>
            <w:noProof/>
          </w:rPr>
          <w:t>2</w:t>
        </w:r>
        <w:r w:rsidR="00183B79" w:rsidRPr="007C31FF">
          <w:rPr>
            <w:rFonts w:ascii="Arial" w:eastAsiaTheme="minorEastAsia" w:hAnsi="Arial" w:cs="Arial"/>
            <w:b w:val="0"/>
            <w:bCs w:val="0"/>
            <w:caps w:val="0"/>
            <w:noProof/>
            <w:sz w:val="22"/>
            <w:szCs w:val="22"/>
            <w:lang w:eastAsia="en-GB" w:bidi="ar-SA"/>
          </w:rPr>
          <w:tab/>
        </w:r>
        <w:r w:rsidR="00183B79" w:rsidRPr="007C31FF">
          <w:rPr>
            <w:rStyle w:val="Hyperlink"/>
            <w:rFonts w:ascii="Arial" w:hAnsi="Arial" w:cs="Arial"/>
            <w:noProof/>
          </w:rPr>
          <w:t>Summary of the findings</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_Toc463450491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1546EF28"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92" w:history="1">
        <w:r w:rsidR="00183B79" w:rsidRPr="007C31FF">
          <w:rPr>
            <w:rStyle w:val="Hyperlink"/>
            <w:rFonts w:ascii="Arial" w:hAnsi="Arial" w:cs="Arial"/>
            <w:noProof/>
          </w:rPr>
          <w:t>2.1</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Summary of issues raised in submissions</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_Toc463450492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5D518980"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493" w:history="1">
        <w:r w:rsidR="00183B79" w:rsidRPr="007C31FF">
          <w:rPr>
            <w:rStyle w:val="Hyperlink"/>
            <w:rFonts w:ascii="Arial" w:hAnsi="Arial" w:cs="Arial"/>
            <w:noProof/>
          </w:rPr>
          <w:t>2.1.1</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General Issues</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_Toc463450493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4</w:t>
        </w:r>
        <w:r w:rsidR="00183B79" w:rsidRPr="007C31FF">
          <w:rPr>
            <w:rFonts w:ascii="Arial" w:hAnsi="Arial" w:cs="Arial"/>
            <w:noProof/>
            <w:webHidden/>
          </w:rPr>
          <w:fldChar w:fldCharType="end"/>
        </w:r>
      </w:hyperlink>
    </w:p>
    <w:p w14:paraId="1C14E7A4"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494" w:history="1">
        <w:r w:rsidR="00183B79" w:rsidRPr="007C31FF">
          <w:rPr>
            <w:rStyle w:val="Hyperlink"/>
            <w:rFonts w:ascii="Arial" w:hAnsi="Arial" w:cs="Arial"/>
            <w:noProof/>
          </w:rPr>
          <w:t>2.1.2</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Specific issues raised</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_Toc463450494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7</w:t>
        </w:r>
        <w:r w:rsidR="00183B79" w:rsidRPr="007C31FF">
          <w:rPr>
            <w:rFonts w:ascii="Arial" w:hAnsi="Arial" w:cs="Arial"/>
            <w:noProof/>
            <w:webHidden/>
          </w:rPr>
          <w:fldChar w:fldCharType="end"/>
        </w:r>
      </w:hyperlink>
    </w:p>
    <w:p w14:paraId="690746E2"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95" w:history="1">
        <w:r w:rsidR="00183B79" w:rsidRPr="007C31FF">
          <w:rPr>
            <w:rStyle w:val="Hyperlink"/>
            <w:rFonts w:ascii="Arial" w:hAnsi="Arial" w:cs="Arial"/>
            <w:noProof/>
          </w:rPr>
          <w:t>2.2</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Safety assessment</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_Toc463450495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9</w:t>
        </w:r>
        <w:r w:rsidR="00183B79" w:rsidRPr="007C31FF">
          <w:rPr>
            <w:rFonts w:ascii="Arial" w:hAnsi="Arial" w:cs="Arial"/>
            <w:noProof/>
            <w:webHidden/>
          </w:rPr>
          <w:fldChar w:fldCharType="end"/>
        </w:r>
      </w:hyperlink>
    </w:p>
    <w:p w14:paraId="573730CE"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96" w:history="1">
        <w:r w:rsidR="00183B79" w:rsidRPr="007C31FF">
          <w:rPr>
            <w:rStyle w:val="Hyperlink"/>
            <w:rFonts w:ascii="Arial" w:hAnsi="Arial" w:cs="Arial"/>
            <w:noProof/>
          </w:rPr>
          <w:t>2.3</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Risk management</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_Toc463450496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9</w:t>
        </w:r>
        <w:r w:rsidR="00183B79" w:rsidRPr="007C31FF">
          <w:rPr>
            <w:rFonts w:ascii="Arial" w:hAnsi="Arial" w:cs="Arial"/>
            <w:noProof/>
            <w:webHidden/>
          </w:rPr>
          <w:fldChar w:fldCharType="end"/>
        </w:r>
      </w:hyperlink>
    </w:p>
    <w:p w14:paraId="7B582D78"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497" w:history="1">
        <w:r w:rsidR="00183B79" w:rsidRPr="007C31FF">
          <w:rPr>
            <w:rStyle w:val="Hyperlink"/>
            <w:rFonts w:ascii="Arial" w:hAnsi="Arial" w:cs="Arial"/>
            <w:noProof/>
          </w:rPr>
          <w:t>2.3.1</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Labelling</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_Toc463450497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9</w:t>
        </w:r>
        <w:r w:rsidR="00183B79" w:rsidRPr="007C31FF">
          <w:rPr>
            <w:rFonts w:ascii="Arial" w:hAnsi="Arial" w:cs="Arial"/>
            <w:noProof/>
            <w:webHidden/>
          </w:rPr>
          <w:fldChar w:fldCharType="end"/>
        </w:r>
      </w:hyperlink>
    </w:p>
    <w:p w14:paraId="00D53E3F"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498" w:history="1">
        <w:r w:rsidR="00183B79" w:rsidRPr="007C31FF">
          <w:rPr>
            <w:rStyle w:val="Hyperlink"/>
            <w:rFonts w:ascii="Arial" w:hAnsi="Arial" w:cs="Arial"/>
            <w:noProof/>
          </w:rPr>
          <w:t xml:space="preserve">2.3.2 </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Detection methodology</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_Toc463450498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10</w:t>
        </w:r>
        <w:r w:rsidR="00183B79" w:rsidRPr="007C31FF">
          <w:rPr>
            <w:rFonts w:ascii="Arial" w:hAnsi="Arial" w:cs="Arial"/>
            <w:noProof/>
            <w:webHidden/>
          </w:rPr>
          <w:fldChar w:fldCharType="end"/>
        </w:r>
      </w:hyperlink>
    </w:p>
    <w:p w14:paraId="0FC1AEB6"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499" w:history="1">
        <w:r w:rsidR="00183B79" w:rsidRPr="007C31FF">
          <w:rPr>
            <w:rStyle w:val="Hyperlink"/>
            <w:rFonts w:ascii="Arial" w:hAnsi="Arial" w:cs="Arial"/>
            <w:noProof/>
          </w:rPr>
          <w:t>2.4</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Risk communication</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_Toc463450499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10</w:t>
        </w:r>
        <w:r w:rsidR="00183B79" w:rsidRPr="007C31FF">
          <w:rPr>
            <w:rFonts w:ascii="Arial" w:hAnsi="Arial" w:cs="Arial"/>
            <w:noProof/>
            <w:webHidden/>
          </w:rPr>
          <w:fldChar w:fldCharType="end"/>
        </w:r>
      </w:hyperlink>
    </w:p>
    <w:p w14:paraId="14583BF6" w14:textId="77777777" w:rsidR="00183B79" w:rsidRPr="007C31FF" w:rsidRDefault="0014738D">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450500" w:history="1">
        <w:r w:rsidR="00183B79" w:rsidRPr="007C31FF">
          <w:rPr>
            <w:rStyle w:val="Hyperlink"/>
            <w:rFonts w:ascii="Arial" w:hAnsi="Arial" w:cs="Arial"/>
            <w:noProof/>
          </w:rPr>
          <w:t>2.5</w:t>
        </w:r>
        <w:r w:rsidR="00183B79" w:rsidRPr="007C31FF">
          <w:rPr>
            <w:rFonts w:ascii="Arial" w:eastAsiaTheme="minorEastAsia" w:hAnsi="Arial" w:cs="Arial"/>
            <w:smallCaps w:val="0"/>
            <w:noProof/>
            <w:sz w:val="22"/>
            <w:szCs w:val="22"/>
            <w:lang w:eastAsia="en-GB" w:bidi="ar-SA"/>
          </w:rPr>
          <w:tab/>
        </w:r>
        <w:r w:rsidR="00183B79" w:rsidRPr="007C31FF">
          <w:rPr>
            <w:rStyle w:val="Hyperlink"/>
            <w:rFonts w:ascii="Arial" w:hAnsi="Arial" w:cs="Arial"/>
            <w:noProof/>
          </w:rPr>
          <w:t>FSANZ Act assessment requirements</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_Toc463450500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10</w:t>
        </w:r>
        <w:r w:rsidR="00183B79" w:rsidRPr="007C31FF">
          <w:rPr>
            <w:rFonts w:ascii="Arial" w:hAnsi="Arial" w:cs="Arial"/>
            <w:noProof/>
            <w:webHidden/>
          </w:rPr>
          <w:fldChar w:fldCharType="end"/>
        </w:r>
      </w:hyperlink>
    </w:p>
    <w:p w14:paraId="1801020E"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501" w:history="1">
        <w:r w:rsidR="00183B79" w:rsidRPr="007C31FF">
          <w:rPr>
            <w:rStyle w:val="Hyperlink"/>
            <w:rFonts w:ascii="Arial" w:hAnsi="Arial" w:cs="Arial"/>
            <w:noProof/>
          </w:rPr>
          <w:t>2.5.1</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Section 29</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_Toc463450501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10</w:t>
        </w:r>
        <w:r w:rsidR="00183B79" w:rsidRPr="007C31FF">
          <w:rPr>
            <w:rFonts w:ascii="Arial" w:hAnsi="Arial" w:cs="Arial"/>
            <w:noProof/>
            <w:webHidden/>
          </w:rPr>
          <w:fldChar w:fldCharType="end"/>
        </w:r>
      </w:hyperlink>
    </w:p>
    <w:p w14:paraId="79B89F53"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502" w:history="1">
        <w:r w:rsidR="00183B79" w:rsidRPr="007C31FF">
          <w:rPr>
            <w:rStyle w:val="Hyperlink"/>
            <w:rFonts w:ascii="Arial" w:eastAsia="Batang" w:hAnsi="Arial" w:cs="Arial"/>
            <w:noProof/>
            <w:vertAlign w:val="superscript"/>
          </w:rPr>
          <w:t>1</w:t>
        </w:r>
        <w:r w:rsidR="00183B79" w:rsidRPr="007C31FF">
          <w:rPr>
            <w:rStyle w:val="Hyperlink"/>
            <w:rFonts w:ascii="Arial" w:eastAsia="Batang" w:hAnsi="Arial" w:cs="Arial"/>
            <w:noProof/>
          </w:rPr>
          <w:t>an authorisation for ‘environment’ indicates the line can be grown commercially in that country.</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_Toc463450502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13</w:t>
        </w:r>
        <w:r w:rsidR="00183B79" w:rsidRPr="007C31FF">
          <w:rPr>
            <w:rFonts w:ascii="Arial" w:hAnsi="Arial" w:cs="Arial"/>
            <w:noProof/>
            <w:webHidden/>
          </w:rPr>
          <w:fldChar w:fldCharType="end"/>
        </w:r>
      </w:hyperlink>
    </w:p>
    <w:p w14:paraId="3AC5193E" w14:textId="77777777" w:rsidR="00183B79" w:rsidRPr="007C31FF" w:rsidRDefault="0014738D">
      <w:pPr>
        <w:pStyle w:val="TOC3"/>
        <w:rPr>
          <w:rFonts w:ascii="Arial" w:eastAsiaTheme="minorEastAsia" w:hAnsi="Arial" w:cs="Arial"/>
          <w:i w:val="0"/>
          <w:iCs w:val="0"/>
          <w:noProof/>
          <w:sz w:val="22"/>
          <w:szCs w:val="22"/>
          <w:lang w:eastAsia="en-GB" w:bidi="ar-SA"/>
        </w:rPr>
      </w:pPr>
      <w:hyperlink w:anchor="_Toc463450503" w:history="1">
        <w:r w:rsidR="00183B79" w:rsidRPr="007C31FF">
          <w:rPr>
            <w:rStyle w:val="Hyperlink"/>
            <w:rFonts w:ascii="Arial" w:hAnsi="Arial" w:cs="Arial"/>
            <w:noProof/>
          </w:rPr>
          <w:t>2.5.2.</w:t>
        </w:r>
        <w:r w:rsidR="00183B79" w:rsidRPr="007C31FF">
          <w:rPr>
            <w:rFonts w:ascii="Arial" w:eastAsiaTheme="minorEastAsia" w:hAnsi="Arial" w:cs="Arial"/>
            <w:i w:val="0"/>
            <w:iCs w:val="0"/>
            <w:noProof/>
            <w:sz w:val="22"/>
            <w:szCs w:val="22"/>
            <w:lang w:eastAsia="en-GB" w:bidi="ar-SA"/>
          </w:rPr>
          <w:tab/>
        </w:r>
        <w:r w:rsidR="00183B79" w:rsidRPr="007C31FF">
          <w:rPr>
            <w:rStyle w:val="Hyperlink"/>
            <w:rFonts w:ascii="Arial" w:hAnsi="Arial" w:cs="Arial"/>
            <w:noProof/>
          </w:rPr>
          <w:t>Subsection 18(1)</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_Toc463450503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13</w:t>
        </w:r>
        <w:r w:rsidR="00183B79" w:rsidRPr="007C31FF">
          <w:rPr>
            <w:rFonts w:ascii="Arial" w:hAnsi="Arial" w:cs="Arial"/>
            <w:noProof/>
            <w:webHidden/>
          </w:rPr>
          <w:fldChar w:fldCharType="end"/>
        </w:r>
      </w:hyperlink>
    </w:p>
    <w:p w14:paraId="366638C4" w14:textId="77777777" w:rsidR="00183B79" w:rsidRPr="007C31FF" w:rsidRDefault="0014738D">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450504" w:history="1">
        <w:r w:rsidR="00183B79" w:rsidRPr="007C31FF">
          <w:rPr>
            <w:rStyle w:val="Hyperlink"/>
            <w:rFonts w:ascii="Arial" w:hAnsi="Arial" w:cs="Arial"/>
            <w:noProof/>
          </w:rPr>
          <w:t>3</w:t>
        </w:r>
        <w:r w:rsidR="00183B79" w:rsidRPr="007C31FF">
          <w:rPr>
            <w:rFonts w:ascii="Arial" w:eastAsiaTheme="minorEastAsia" w:hAnsi="Arial" w:cs="Arial"/>
            <w:b w:val="0"/>
            <w:bCs w:val="0"/>
            <w:caps w:val="0"/>
            <w:noProof/>
            <w:sz w:val="22"/>
            <w:szCs w:val="22"/>
            <w:lang w:eastAsia="en-GB" w:bidi="ar-SA"/>
          </w:rPr>
          <w:tab/>
        </w:r>
        <w:r w:rsidR="00183B79" w:rsidRPr="007C31FF">
          <w:rPr>
            <w:rStyle w:val="Hyperlink"/>
            <w:rFonts w:ascii="Arial" w:hAnsi="Arial" w:cs="Arial"/>
            <w:noProof/>
          </w:rPr>
          <w:t>References</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_Toc463450504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14</w:t>
        </w:r>
        <w:r w:rsidR="00183B79" w:rsidRPr="007C31FF">
          <w:rPr>
            <w:rFonts w:ascii="Arial" w:hAnsi="Arial" w:cs="Arial"/>
            <w:noProof/>
            <w:webHidden/>
          </w:rPr>
          <w:fldChar w:fldCharType="end"/>
        </w:r>
      </w:hyperlink>
    </w:p>
    <w:p w14:paraId="0A9C777F" w14:textId="77777777" w:rsidR="00183B79" w:rsidRPr="007C31FF" w:rsidRDefault="0014738D">
      <w:pPr>
        <w:pStyle w:val="TOC2"/>
        <w:tabs>
          <w:tab w:val="right" w:leader="dot" w:pos="9060"/>
        </w:tabs>
        <w:rPr>
          <w:rFonts w:ascii="Arial" w:eastAsiaTheme="minorEastAsia" w:hAnsi="Arial" w:cs="Arial"/>
          <w:smallCaps w:val="0"/>
          <w:noProof/>
          <w:sz w:val="22"/>
          <w:szCs w:val="22"/>
          <w:lang w:eastAsia="en-GB" w:bidi="ar-SA"/>
        </w:rPr>
      </w:pPr>
      <w:hyperlink w:anchor="_Toc463450505" w:history="1">
        <w:r w:rsidR="00183B79" w:rsidRPr="007C31FF">
          <w:rPr>
            <w:rStyle w:val="Hyperlink"/>
            <w:rFonts w:ascii="Arial" w:hAnsi="Arial" w:cs="Arial"/>
            <w:noProof/>
          </w:rPr>
          <w:t xml:space="preserve">Attachment A – Approved draft variation to the </w:t>
        </w:r>
        <w:r w:rsidR="00183B79" w:rsidRPr="007C31FF">
          <w:rPr>
            <w:rStyle w:val="Hyperlink"/>
            <w:rFonts w:ascii="Arial" w:hAnsi="Arial" w:cs="Arial"/>
            <w:i/>
            <w:noProof/>
          </w:rPr>
          <w:t>Australia New Zealand Food Standards Code</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_Toc463450505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16</w:t>
        </w:r>
        <w:r w:rsidR="00183B79" w:rsidRPr="007C31FF">
          <w:rPr>
            <w:rFonts w:ascii="Arial" w:hAnsi="Arial" w:cs="Arial"/>
            <w:noProof/>
            <w:webHidden/>
          </w:rPr>
          <w:fldChar w:fldCharType="end"/>
        </w:r>
      </w:hyperlink>
    </w:p>
    <w:p w14:paraId="2FA0F0C5" w14:textId="77777777" w:rsidR="00183B79" w:rsidRPr="007C31FF" w:rsidRDefault="0014738D">
      <w:pPr>
        <w:pStyle w:val="TOC2"/>
        <w:tabs>
          <w:tab w:val="right" w:leader="dot" w:pos="9060"/>
        </w:tabs>
        <w:rPr>
          <w:rFonts w:ascii="Arial" w:eastAsiaTheme="minorEastAsia" w:hAnsi="Arial" w:cs="Arial"/>
          <w:smallCaps w:val="0"/>
          <w:noProof/>
          <w:sz w:val="22"/>
          <w:szCs w:val="22"/>
          <w:lang w:eastAsia="en-GB" w:bidi="ar-SA"/>
        </w:rPr>
      </w:pPr>
      <w:hyperlink w:anchor="_Toc463450506" w:history="1">
        <w:r w:rsidR="00183B79" w:rsidRPr="007C31FF">
          <w:rPr>
            <w:rStyle w:val="Hyperlink"/>
            <w:rFonts w:ascii="Arial" w:hAnsi="Arial" w:cs="Arial"/>
            <w:noProof/>
          </w:rPr>
          <w:t>Attachment B – Explanatory Statement</w:t>
        </w:r>
        <w:r w:rsidR="00183B79" w:rsidRPr="007C31FF">
          <w:rPr>
            <w:rFonts w:ascii="Arial" w:hAnsi="Arial" w:cs="Arial"/>
            <w:noProof/>
            <w:webHidden/>
          </w:rPr>
          <w:tab/>
        </w:r>
        <w:r w:rsidR="00183B79" w:rsidRPr="007C31FF">
          <w:rPr>
            <w:rFonts w:ascii="Arial" w:hAnsi="Arial" w:cs="Arial"/>
            <w:noProof/>
            <w:webHidden/>
          </w:rPr>
          <w:fldChar w:fldCharType="begin"/>
        </w:r>
        <w:r w:rsidR="00183B79" w:rsidRPr="007C31FF">
          <w:rPr>
            <w:rFonts w:ascii="Arial" w:hAnsi="Arial" w:cs="Arial"/>
            <w:noProof/>
            <w:webHidden/>
          </w:rPr>
          <w:instrText xml:space="preserve"> PAGEREF _Toc463450506 \h </w:instrText>
        </w:r>
        <w:r w:rsidR="00183B79" w:rsidRPr="007C31FF">
          <w:rPr>
            <w:rFonts w:ascii="Arial" w:hAnsi="Arial" w:cs="Arial"/>
            <w:noProof/>
            <w:webHidden/>
          </w:rPr>
        </w:r>
        <w:r w:rsidR="00183B79" w:rsidRPr="007C31FF">
          <w:rPr>
            <w:rFonts w:ascii="Arial" w:hAnsi="Arial" w:cs="Arial"/>
            <w:noProof/>
            <w:webHidden/>
          </w:rPr>
          <w:fldChar w:fldCharType="separate"/>
        </w:r>
        <w:r w:rsidR="007A0045">
          <w:rPr>
            <w:rFonts w:ascii="Arial" w:hAnsi="Arial" w:cs="Arial"/>
            <w:noProof/>
            <w:webHidden/>
          </w:rPr>
          <w:t>18</w:t>
        </w:r>
        <w:r w:rsidR="00183B79" w:rsidRPr="007C31FF">
          <w:rPr>
            <w:rFonts w:ascii="Arial" w:hAnsi="Arial" w:cs="Arial"/>
            <w:noProof/>
            <w:webHidden/>
          </w:rPr>
          <w:fldChar w:fldCharType="end"/>
        </w:r>
      </w:hyperlink>
    </w:p>
    <w:p w14:paraId="7D2D5D2F" w14:textId="77777777" w:rsidR="0012388D" w:rsidRDefault="00B55714" w:rsidP="00C91C02">
      <w:r w:rsidRPr="007C31FF">
        <w:rPr>
          <w:rFonts w:cs="Arial"/>
          <w:sz w:val="20"/>
          <w:szCs w:val="20"/>
        </w:rPr>
        <w:fldChar w:fldCharType="end"/>
      </w:r>
    </w:p>
    <w:p w14:paraId="505CBCF9" w14:textId="77777777" w:rsidR="007F7BF7" w:rsidRDefault="007F7BF7" w:rsidP="00CA5734"/>
    <w:p w14:paraId="10CA81B0" w14:textId="0267FD5C" w:rsidR="00A671E6" w:rsidRPr="000B427A" w:rsidRDefault="00A671E6" w:rsidP="00A671E6">
      <w:pPr>
        <w:rPr>
          <w:b/>
          <w:bCs/>
        </w:rPr>
      </w:pPr>
      <w:r w:rsidRPr="000B427A">
        <w:rPr>
          <w:b/>
          <w:bCs/>
        </w:rPr>
        <w:t>S</w:t>
      </w:r>
      <w:r w:rsidR="007C22CB" w:rsidRPr="000B427A">
        <w:rPr>
          <w:b/>
          <w:bCs/>
        </w:rPr>
        <w:t>upporting</w:t>
      </w:r>
      <w:r w:rsidR="00767B17">
        <w:rPr>
          <w:b/>
          <w:bCs/>
        </w:rPr>
        <w:t xml:space="preserve"> document</w:t>
      </w:r>
      <w:r w:rsidRPr="000B427A">
        <w:rPr>
          <w:b/>
          <w:bCs/>
        </w:rPr>
        <w:t xml:space="preserve"> </w:t>
      </w:r>
    </w:p>
    <w:p w14:paraId="43DDFFA0" w14:textId="77777777" w:rsidR="00A671E6" w:rsidRPr="0089264A" w:rsidRDefault="00A671E6" w:rsidP="00A671E6">
      <w:pPr>
        <w:rPr>
          <w:szCs w:val="22"/>
        </w:rPr>
      </w:pPr>
    </w:p>
    <w:p w14:paraId="1CA9F02D" w14:textId="62EBDC14" w:rsidR="00767B17" w:rsidRDefault="00767B17" w:rsidP="00767B17">
      <w:r w:rsidRPr="00B5032F">
        <w:rPr>
          <w:color w:val="000000" w:themeColor="text1"/>
        </w:rPr>
        <w:t xml:space="preserve">The </w:t>
      </w:r>
      <w:hyperlink r:id="rId16" w:history="1">
        <w:r w:rsidRPr="0038635B">
          <w:rPr>
            <w:rStyle w:val="Hyperlink"/>
          </w:rPr>
          <w:t>following document</w:t>
        </w:r>
      </w:hyperlink>
      <w:r w:rsidR="007C31FF">
        <w:rPr>
          <w:rStyle w:val="FootnoteReference"/>
          <w:color w:val="000000" w:themeColor="text1"/>
        </w:rPr>
        <w:footnoteReference w:id="2"/>
      </w:r>
      <w:r w:rsidRPr="00B5032F">
        <w:rPr>
          <w:color w:val="000000" w:themeColor="text1"/>
        </w:rPr>
        <w:t>, which informed the assessment of this Application, i</w:t>
      </w:r>
      <w:r w:rsidR="0038635B">
        <w:rPr>
          <w:color w:val="000000" w:themeColor="text1"/>
        </w:rPr>
        <w:t>s available on the FSANZ website</w:t>
      </w:r>
      <w:r w:rsidR="007C31FF">
        <w:rPr>
          <w:color w:val="000000" w:themeColor="text1"/>
        </w:rPr>
        <w:t>:</w:t>
      </w:r>
    </w:p>
    <w:p w14:paraId="6F8167E7" w14:textId="77777777" w:rsidR="00F605C5" w:rsidRPr="00C94838" w:rsidRDefault="00F605C5" w:rsidP="00767B17"/>
    <w:p w14:paraId="3E6FAF3C" w14:textId="583FD659" w:rsidR="00767B17" w:rsidRPr="00B5032F" w:rsidRDefault="00767B17" w:rsidP="00767B17">
      <w:pPr>
        <w:spacing w:line="280" w:lineRule="exact"/>
        <w:ind w:left="851" w:hanging="851"/>
        <w:outlineLvl w:val="3"/>
        <w:rPr>
          <w:rFonts w:cs="Arial"/>
          <w:color w:val="000000" w:themeColor="text1"/>
        </w:rPr>
      </w:pPr>
      <w:r w:rsidRPr="00A53299">
        <w:t>SD1</w:t>
      </w:r>
      <w:r w:rsidRPr="00A53299">
        <w:tab/>
        <w:t>Safety Assessment Report</w:t>
      </w:r>
      <w:r w:rsidR="0097684D" w:rsidRPr="0032409C">
        <w:t xml:space="preserve"> (at Approval)</w:t>
      </w:r>
    </w:p>
    <w:p w14:paraId="480B0325" w14:textId="736335EB" w:rsidR="00E9657D" w:rsidRPr="00BD1E09" w:rsidRDefault="00E9657D">
      <w:pPr>
        <w:widowControl/>
        <w:rPr>
          <w:color w:val="000000" w:themeColor="text1"/>
        </w:rPr>
      </w:pPr>
      <w:r>
        <w:rPr>
          <w:vanish/>
          <w:color w:val="000000" w:themeColor="text1"/>
        </w:rPr>
        <w:br w:type="page"/>
      </w:r>
    </w:p>
    <w:p w14:paraId="69846D25" w14:textId="5D3B6373" w:rsidR="007A53BF" w:rsidRPr="00756A52" w:rsidRDefault="007A53BF" w:rsidP="00CE59AA">
      <w:pPr>
        <w:pStyle w:val="Heading1"/>
      </w:pPr>
      <w:bookmarkStart w:id="1" w:name="_Toc286391001"/>
      <w:bookmarkStart w:id="2" w:name="_Toc300933414"/>
      <w:bookmarkStart w:id="3" w:name="_Toc370223463"/>
      <w:bookmarkStart w:id="4" w:name="_Toc463450483"/>
      <w:bookmarkStart w:id="5" w:name="_Toc11735627"/>
      <w:bookmarkStart w:id="6" w:name="_Toc29883110"/>
      <w:bookmarkStart w:id="7" w:name="_Toc41906797"/>
      <w:bookmarkStart w:id="8" w:name="_Toc41907544"/>
      <w:bookmarkStart w:id="9" w:name="_Toc120358575"/>
      <w:r w:rsidRPr="00756A52">
        <w:t>Executive summary</w:t>
      </w:r>
      <w:bookmarkEnd w:id="1"/>
      <w:bookmarkEnd w:id="2"/>
      <w:bookmarkEnd w:id="3"/>
      <w:bookmarkEnd w:id="4"/>
    </w:p>
    <w:p w14:paraId="1B5533F1" w14:textId="75E457B4" w:rsidR="0097684D" w:rsidRPr="002933AF" w:rsidRDefault="0097684D" w:rsidP="0097684D">
      <w:pPr>
        <w:rPr>
          <w:color w:val="000000" w:themeColor="text1"/>
          <w:lang w:bidi="ar-SA"/>
        </w:rPr>
      </w:pPr>
      <w:r w:rsidRPr="002933AF">
        <w:rPr>
          <w:color w:val="000000" w:themeColor="text1"/>
          <w:lang w:bidi="ar-SA"/>
        </w:rPr>
        <w:t xml:space="preserve">Food Standards Australia New Zealand (FSANZ) received an Application from SPS International Inc on 25 February 2016. The Applicant requested </w:t>
      </w:r>
      <w:r w:rsidR="0032409C">
        <w:rPr>
          <w:color w:val="000000" w:themeColor="text1"/>
          <w:lang w:bidi="ar-SA"/>
        </w:rPr>
        <w:t xml:space="preserve">approval for the </w:t>
      </w:r>
      <w:r w:rsidR="0032409C" w:rsidRPr="002933AF">
        <w:rPr>
          <w:color w:val="000000" w:themeColor="text1"/>
          <w:lang w:bidi="ar-SA"/>
        </w:rPr>
        <w:t>perm</w:t>
      </w:r>
      <w:r w:rsidR="0032409C">
        <w:rPr>
          <w:color w:val="000000" w:themeColor="text1"/>
          <w:lang w:bidi="ar-SA"/>
        </w:rPr>
        <w:t xml:space="preserve">ission of </w:t>
      </w:r>
      <w:r w:rsidRPr="002933AF">
        <w:rPr>
          <w:color w:val="000000" w:themeColor="text1"/>
          <w:lang w:bidi="ar-SA"/>
        </w:rPr>
        <w:t>the sale and use of food derived from a genetically modified (GM) potato line which has reduced acrylamide potential and re</w:t>
      </w:r>
      <w:r w:rsidR="009D6A92">
        <w:rPr>
          <w:color w:val="000000" w:themeColor="text1"/>
          <w:lang w:bidi="ar-SA"/>
        </w:rPr>
        <w:t>duced browning (blackspot bruising</w:t>
      </w:r>
      <w:r w:rsidRPr="002933AF">
        <w:rPr>
          <w:color w:val="000000" w:themeColor="text1"/>
          <w:lang w:bidi="ar-SA"/>
        </w:rPr>
        <w:t xml:space="preserve">). </w:t>
      </w:r>
    </w:p>
    <w:p w14:paraId="1CC3BB7E" w14:textId="77777777" w:rsidR="00E9657D" w:rsidRPr="00756A52" w:rsidRDefault="00E9657D" w:rsidP="00E9657D">
      <w:pPr>
        <w:rPr>
          <w:rFonts w:cs="Arial"/>
        </w:rPr>
      </w:pPr>
    </w:p>
    <w:p w14:paraId="1BFCA00D" w14:textId="77777777" w:rsidR="00E9657D" w:rsidRPr="00756A52" w:rsidRDefault="00E9657D" w:rsidP="00E9657D">
      <w:pPr>
        <w:rPr>
          <w:rFonts w:cs="Arial"/>
        </w:rPr>
      </w:pPr>
      <w:r w:rsidRPr="00756A52">
        <w:rPr>
          <w:rFonts w:cs="Arial"/>
        </w:rPr>
        <w:t xml:space="preserve">The primary objective of FSANZ in developing or varying a food regulatory measure, as stated in s 18 of the </w:t>
      </w:r>
      <w:r w:rsidRPr="00756A52">
        <w:rPr>
          <w:rFonts w:cs="Arial"/>
          <w:i/>
        </w:rPr>
        <w:t>Food Standards Australia New Zealand Act 1991</w:t>
      </w:r>
      <w:r w:rsidRPr="00756A52">
        <w:rPr>
          <w:rFonts w:cs="Arial"/>
        </w:rPr>
        <w:t xml:space="preserve"> (FSANZ Act), is the protection of public health and safety. Accordingly, the safety assessment is a central part of considering an application.</w:t>
      </w:r>
    </w:p>
    <w:p w14:paraId="4594CCF1" w14:textId="77777777" w:rsidR="00E9657D" w:rsidRPr="00756A52" w:rsidRDefault="00E9657D" w:rsidP="00E9657D"/>
    <w:p w14:paraId="24DE829E" w14:textId="0A147489" w:rsidR="0097684D" w:rsidRPr="002933AF" w:rsidRDefault="0097684D" w:rsidP="0097684D">
      <w:pPr>
        <w:rPr>
          <w:color w:val="000000" w:themeColor="text1"/>
          <w:lang w:bidi="ar-SA"/>
        </w:rPr>
      </w:pPr>
      <w:r>
        <w:rPr>
          <w:color w:val="000000" w:themeColor="text1"/>
          <w:lang w:bidi="ar-SA"/>
        </w:rPr>
        <w:lastRenderedPageBreak/>
        <w:t>The safety assessment of</w:t>
      </w:r>
      <w:r w:rsidRPr="002933AF">
        <w:rPr>
          <w:color w:val="000000" w:themeColor="text1"/>
          <w:lang w:bidi="ar-SA"/>
        </w:rPr>
        <w:t xml:space="preserve"> GM potato line E12 is provided in Supporting Document 1. No potential public health and safety concerns have been identified. Based on the data provided in the present Application, and other available information, food derived from line E12 is considered to be as safe for human consumption as food derived from conventional potato cultivars.</w:t>
      </w:r>
    </w:p>
    <w:p w14:paraId="71C60C13" w14:textId="77777777" w:rsidR="00E9657D" w:rsidRPr="00756A52" w:rsidRDefault="00E9657D" w:rsidP="00E9657D">
      <w:pPr>
        <w:rPr>
          <w:szCs w:val="22"/>
        </w:rPr>
      </w:pPr>
    </w:p>
    <w:p w14:paraId="21C69538" w14:textId="391C7FCD" w:rsidR="0097684D" w:rsidRPr="00425D0B" w:rsidRDefault="00E9657D" w:rsidP="0097684D">
      <w:pPr>
        <w:rPr>
          <w:rFonts w:eastAsia="Calibri"/>
        </w:rPr>
      </w:pPr>
      <w:r w:rsidRPr="00756A52">
        <w:rPr>
          <w:szCs w:val="22"/>
        </w:rPr>
        <w:t>The FSANZ Board has approved the d</w:t>
      </w:r>
      <w:r w:rsidR="00767B17" w:rsidRPr="00756A52">
        <w:rPr>
          <w:szCs w:val="22"/>
        </w:rPr>
        <w:t>raft variation to Schedule 26</w:t>
      </w:r>
      <w:r w:rsidR="0097684D">
        <w:rPr>
          <w:szCs w:val="22"/>
        </w:rPr>
        <w:t xml:space="preserve"> to include food</w:t>
      </w:r>
      <w:r w:rsidR="0097684D" w:rsidRPr="00425D0B">
        <w:rPr>
          <w:szCs w:val="22"/>
        </w:rPr>
        <w:t xml:space="preserve"> derived from </w:t>
      </w:r>
      <w:r w:rsidR="0097684D">
        <w:rPr>
          <w:szCs w:val="22"/>
        </w:rPr>
        <w:t>reduced acrylamide potential and reduced browning potato line E12.</w:t>
      </w:r>
    </w:p>
    <w:p w14:paraId="55CA24EB" w14:textId="76C940C4" w:rsidR="007A53BF" w:rsidRPr="00756A52" w:rsidRDefault="007A53BF" w:rsidP="00E9657D">
      <w:pPr>
        <w:rPr>
          <w:lang w:bidi="ar-SA"/>
        </w:rPr>
      </w:pPr>
    </w:p>
    <w:p w14:paraId="46F73A7D" w14:textId="77777777" w:rsidR="00C836FF" w:rsidRPr="00E9657D" w:rsidRDefault="00C836FF" w:rsidP="0097684D">
      <w:r w:rsidRPr="00E9657D">
        <w:br w:type="page"/>
      </w:r>
    </w:p>
    <w:p w14:paraId="158BB590" w14:textId="77777777" w:rsidR="007A53BF" w:rsidRPr="00756A52" w:rsidRDefault="007A53BF" w:rsidP="00CE59AA">
      <w:pPr>
        <w:pStyle w:val="Heading1"/>
      </w:pPr>
      <w:bookmarkStart w:id="10" w:name="_Toc300933417"/>
      <w:bookmarkStart w:id="11" w:name="_Toc370223464"/>
      <w:bookmarkStart w:id="12" w:name="_Toc463450484"/>
      <w:r w:rsidRPr="00756A52">
        <w:lastRenderedPageBreak/>
        <w:t>1</w:t>
      </w:r>
      <w:r w:rsidRPr="00756A52">
        <w:tab/>
        <w:t>Introduction</w:t>
      </w:r>
      <w:bookmarkEnd w:id="10"/>
      <w:bookmarkEnd w:id="11"/>
      <w:bookmarkEnd w:id="12"/>
    </w:p>
    <w:p w14:paraId="2BC11B39" w14:textId="77777777" w:rsidR="00E9657D" w:rsidRPr="00756A52" w:rsidRDefault="00E9657D" w:rsidP="00E9657D">
      <w:pPr>
        <w:pStyle w:val="Heading2"/>
      </w:pPr>
      <w:bookmarkStart w:id="13" w:name="_Toc300761890"/>
      <w:bookmarkStart w:id="14" w:name="_Toc420934008"/>
      <w:bookmarkStart w:id="15" w:name="_Toc463450485"/>
      <w:bookmarkStart w:id="16" w:name="_Toc300933419"/>
      <w:bookmarkStart w:id="17" w:name="_Toc370223465"/>
      <w:bookmarkStart w:id="18" w:name="_Toc300761892"/>
      <w:bookmarkStart w:id="19" w:name="_Toc300933421"/>
      <w:bookmarkStart w:id="20" w:name="_Toc370223467"/>
      <w:r w:rsidRPr="00756A52">
        <w:t>1.1</w:t>
      </w:r>
      <w:r w:rsidRPr="00756A52">
        <w:tab/>
        <w:t>The Applicant</w:t>
      </w:r>
      <w:bookmarkEnd w:id="13"/>
      <w:bookmarkEnd w:id="14"/>
      <w:bookmarkEnd w:id="15"/>
      <w:r w:rsidRPr="00756A52">
        <w:t xml:space="preserve"> </w:t>
      </w:r>
      <w:bookmarkEnd w:id="16"/>
      <w:bookmarkEnd w:id="17"/>
    </w:p>
    <w:p w14:paraId="5B15B202" w14:textId="1FB5A08B" w:rsidR="0097684D" w:rsidRPr="00107E06" w:rsidRDefault="0097684D" w:rsidP="0097684D">
      <w:pPr>
        <w:rPr>
          <w:color w:val="000000" w:themeColor="text1"/>
        </w:rPr>
      </w:pPr>
      <w:bookmarkStart w:id="21" w:name="_Toc300761891"/>
      <w:bookmarkStart w:id="22" w:name="_Toc300933420"/>
      <w:bookmarkStart w:id="23" w:name="_Toc370223466"/>
      <w:bookmarkStart w:id="24" w:name="_Toc420934009"/>
      <w:r w:rsidRPr="00107E06">
        <w:rPr>
          <w:color w:val="000000" w:themeColor="text1"/>
        </w:rPr>
        <w:t>SPS International Inc (SPS) is a subsidiary of the United States of America (USA) food and agribusiness company J.R. Simplot Company located in Boise, Idaho.</w:t>
      </w:r>
    </w:p>
    <w:p w14:paraId="2C415694" w14:textId="77777777" w:rsidR="00E9657D" w:rsidRPr="00756A52" w:rsidRDefault="00E9657D" w:rsidP="00E9657D">
      <w:pPr>
        <w:pStyle w:val="Heading2"/>
      </w:pPr>
      <w:bookmarkStart w:id="25" w:name="_Toc463450486"/>
      <w:r w:rsidRPr="00756A52">
        <w:t>1.2</w:t>
      </w:r>
      <w:r w:rsidRPr="00756A52">
        <w:tab/>
        <w:t>The Application</w:t>
      </w:r>
      <w:bookmarkEnd w:id="21"/>
      <w:bookmarkEnd w:id="22"/>
      <w:bookmarkEnd w:id="23"/>
      <w:bookmarkEnd w:id="24"/>
      <w:bookmarkEnd w:id="25"/>
    </w:p>
    <w:p w14:paraId="71B0C5E3" w14:textId="6A50F313" w:rsidR="0097684D" w:rsidRPr="00107E06" w:rsidRDefault="0097684D" w:rsidP="0097684D">
      <w:pPr>
        <w:rPr>
          <w:color w:val="000000" w:themeColor="text1"/>
        </w:rPr>
      </w:pPr>
      <w:r w:rsidRPr="00107E06">
        <w:rPr>
          <w:color w:val="000000" w:themeColor="text1"/>
        </w:rPr>
        <w:t>A1128 was submitted by SPS on 25</w:t>
      </w:r>
      <w:r>
        <w:rPr>
          <w:color w:val="000000" w:themeColor="text1"/>
        </w:rPr>
        <w:t xml:space="preserve"> February 2016. It sought</w:t>
      </w:r>
      <w:r w:rsidRPr="00107E06">
        <w:rPr>
          <w:color w:val="000000" w:themeColor="text1"/>
        </w:rPr>
        <w:t xml:space="preserve"> approval for food derived from a potato line with OECD Unique Identifier SPS-ØØE1</w:t>
      </w:r>
      <w:r w:rsidR="00C75FD6">
        <w:rPr>
          <w:color w:val="000000" w:themeColor="text1"/>
        </w:rPr>
        <w:t xml:space="preserve">2-8 (herein referred to as </w:t>
      </w:r>
      <w:r w:rsidR="0032409C">
        <w:rPr>
          <w:color w:val="000000" w:themeColor="text1"/>
        </w:rPr>
        <w:t>‘</w:t>
      </w:r>
      <w:r w:rsidR="00C75FD6">
        <w:rPr>
          <w:color w:val="000000" w:themeColor="text1"/>
        </w:rPr>
        <w:t>E12</w:t>
      </w:r>
      <w:r w:rsidR="0032409C">
        <w:rPr>
          <w:color w:val="000000" w:themeColor="text1"/>
        </w:rPr>
        <w:t>’</w:t>
      </w:r>
      <w:r w:rsidR="00C75FD6">
        <w:rPr>
          <w:color w:val="000000" w:themeColor="text1"/>
        </w:rPr>
        <w:t xml:space="preserve">) </w:t>
      </w:r>
      <w:r w:rsidRPr="00107E06">
        <w:rPr>
          <w:color w:val="000000" w:themeColor="text1"/>
        </w:rPr>
        <w:t>which has reduced acrylamide potential and reduced browning (blackspot bruise)</w:t>
      </w:r>
      <w:r w:rsidR="007F5B55">
        <w:rPr>
          <w:color w:val="000000" w:themeColor="text1"/>
        </w:rPr>
        <w:t>.</w:t>
      </w:r>
      <w:r w:rsidRPr="00107E06">
        <w:rPr>
          <w:color w:val="000000" w:themeColor="text1"/>
        </w:rPr>
        <w:t xml:space="preserve"> </w:t>
      </w:r>
    </w:p>
    <w:p w14:paraId="25A49272" w14:textId="77777777" w:rsidR="0097684D" w:rsidRPr="00107E06" w:rsidRDefault="0097684D" w:rsidP="0097684D">
      <w:pPr>
        <w:rPr>
          <w:color w:val="000000" w:themeColor="text1"/>
        </w:rPr>
      </w:pPr>
    </w:p>
    <w:p w14:paraId="25E7FDBE" w14:textId="01B762D6" w:rsidR="00EC2872" w:rsidRPr="00797A2E" w:rsidRDefault="0097684D" w:rsidP="00EC2872">
      <w:pPr>
        <w:autoSpaceDE w:val="0"/>
        <w:autoSpaceDN w:val="0"/>
        <w:adjustRightInd w:val="0"/>
        <w:rPr>
          <w:rFonts w:eastAsiaTheme="minorHAnsi" w:cs="Arial"/>
          <w:color w:val="000000" w:themeColor="text1"/>
          <w:szCs w:val="22"/>
        </w:rPr>
      </w:pPr>
      <w:r w:rsidRPr="00107E06">
        <w:rPr>
          <w:color w:val="000000" w:themeColor="text1"/>
        </w:rPr>
        <w:t xml:space="preserve">E12 </w:t>
      </w:r>
      <w:r w:rsidR="00EC2872" w:rsidRPr="00797A2E">
        <w:rPr>
          <w:rFonts w:eastAsiaTheme="minorHAnsi" w:cs="Arial"/>
          <w:color w:val="000000" w:themeColor="text1"/>
          <w:szCs w:val="22"/>
        </w:rPr>
        <w:t xml:space="preserve">has been genetically modified using a RNA interference (RNAi) approach. Gene fragments from four genes </w:t>
      </w:r>
      <w:r w:rsidR="00B50BE1">
        <w:rPr>
          <w:rFonts w:eastAsiaTheme="minorHAnsi" w:cs="Arial"/>
          <w:color w:val="000000" w:themeColor="text1"/>
          <w:szCs w:val="22"/>
        </w:rPr>
        <w:t xml:space="preserve">that </w:t>
      </w:r>
      <w:r w:rsidR="00EC2872" w:rsidRPr="0018601D">
        <w:rPr>
          <w:rFonts w:eastAsiaTheme="minorHAnsi" w:cs="Arial"/>
          <w:color w:val="000000" w:themeColor="text1"/>
          <w:szCs w:val="22"/>
        </w:rPr>
        <w:t>were intended to sup</w:t>
      </w:r>
      <w:r w:rsidR="00615054">
        <w:rPr>
          <w:rFonts w:eastAsiaTheme="minorHAnsi" w:cs="Arial"/>
          <w:color w:val="000000" w:themeColor="text1"/>
          <w:szCs w:val="22"/>
        </w:rPr>
        <w:t>p</w:t>
      </w:r>
      <w:r w:rsidR="00EC2872" w:rsidRPr="0018601D">
        <w:rPr>
          <w:rFonts w:eastAsiaTheme="minorHAnsi" w:cs="Arial"/>
          <w:color w:val="000000" w:themeColor="text1"/>
          <w:szCs w:val="22"/>
        </w:rPr>
        <w:t xml:space="preserve">ress the </w:t>
      </w:r>
      <w:r w:rsidR="00EC2872" w:rsidRPr="00797A2E">
        <w:rPr>
          <w:rFonts w:eastAsiaTheme="minorHAnsi" w:cs="Arial"/>
          <w:color w:val="000000" w:themeColor="text1"/>
          <w:szCs w:val="22"/>
        </w:rPr>
        <w:t>expression of four endogenous potato genes</w:t>
      </w:r>
      <w:r w:rsidR="00B50BE1">
        <w:rPr>
          <w:rFonts w:eastAsiaTheme="minorHAnsi" w:cs="Arial"/>
          <w:color w:val="000000" w:themeColor="text1"/>
          <w:szCs w:val="22"/>
        </w:rPr>
        <w:t xml:space="preserve"> </w:t>
      </w:r>
      <w:r w:rsidR="00B50BE1" w:rsidRPr="00797A2E">
        <w:rPr>
          <w:rFonts w:eastAsiaTheme="minorHAnsi" w:cs="Arial"/>
          <w:color w:val="000000" w:themeColor="text1"/>
          <w:szCs w:val="22"/>
        </w:rPr>
        <w:t>were introduced into E12</w:t>
      </w:r>
      <w:r w:rsidR="00EC2872" w:rsidRPr="00797A2E">
        <w:rPr>
          <w:rFonts w:eastAsiaTheme="minorHAnsi" w:cs="Arial"/>
          <w:color w:val="000000" w:themeColor="text1"/>
          <w:szCs w:val="22"/>
        </w:rPr>
        <w:t xml:space="preserve">. The introduced </w:t>
      </w:r>
      <w:r w:rsidR="00B50BE1">
        <w:rPr>
          <w:rFonts w:eastAsiaTheme="minorHAnsi" w:cs="Arial"/>
          <w:color w:val="000000" w:themeColor="text1"/>
          <w:szCs w:val="22"/>
        </w:rPr>
        <w:t>gene</w:t>
      </w:r>
      <w:r w:rsidR="00B50BE1" w:rsidRPr="00797A2E">
        <w:rPr>
          <w:rFonts w:eastAsiaTheme="minorHAnsi" w:cs="Arial"/>
          <w:color w:val="000000" w:themeColor="text1"/>
          <w:szCs w:val="22"/>
        </w:rPr>
        <w:t xml:space="preserve"> </w:t>
      </w:r>
      <w:r w:rsidR="00EC2872" w:rsidRPr="00797A2E">
        <w:rPr>
          <w:rFonts w:eastAsiaTheme="minorHAnsi" w:cs="Arial"/>
          <w:color w:val="000000" w:themeColor="text1"/>
          <w:szCs w:val="22"/>
        </w:rPr>
        <w:t>fragments are derived from potato (</w:t>
      </w:r>
      <w:r w:rsidR="00EC2872" w:rsidRPr="00797A2E">
        <w:rPr>
          <w:rFonts w:eastAsiaTheme="minorHAnsi" w:cs="Arial"/>
          <w:i/>
          <w:color w:val="000000" w:themeColor="text1"/>
          <w:szCs w:val="22"/>
        </w:rPr>
        <w:t>Solanum tuberosum</w:t>
      </w:r>
      <w:r w:rsidR="00EC2872" w:rsidRPr="00797A2E">
        <w:rPr>
          <w:rFonts w:eastAsiaTheme="minorHAnsi" w:cs="Arial"/>
          <w:color w:val="000000" w:themeColor="text1"/>
          <w:szCs w:val="22"/>
        </w:rPr>
        <w:t>)</w:t>
      </w:r>
      <w:r w:rsidR="00EC2872" w:rsidRPr="00797A2E">
        <w:rPr>
          <w:rFonts w:eastAsiaTheme="minorHAnsi" w:cs="Arial"/>
          <w:i/>
          <w:color w:val="000000" w:themeColor="text1"/>
          <w:szCs w:val="22"/>
        </w:rPr>
        <w:t xml:space="preserve"> </w:t>
      </w:r>
      <w:r w:rsidR="00EC2872" w:rsidRPr="00797A2E">
        <w:rPr>
          <w:rFonts w:eastAsiaTheme="minorHAnsi" w:cs="Arial"/>
          <w:color w:val="000000" w:themeColor="text1"/>
          <w:szCs w:val="22"/>
        </w:rPr>
        <w:t>and a related species (</w:t>
      </w:r>
      <w:r w:rsidR="00EC2872" w:rsidRPr="00797A2E">
        <w:rPr>
          <w:rFonts w:eastAsiaTheme="minorHAnsi" w:cs="Arial"/>
          <w:i/>
          <w:color w:val="000000" w:themeColor="text1"/>
          <w:szCs w:val="22"/>
        </w:rPr>
        <w:t>Solanum verrucosum</w:t>
      </w:r>
      <w:r w:rsidR="00EC2872" w:rsidRPr="00797A2E">
        <w:rPr>
          <w:rFonts w:eastAsiaTheme="minorHAnsi" w:cs="Arial"/>
          <w:color w:val="000000" w:themeColor="text1"/>
          <w:szCs w:val="22"/>
        </w:rPr>
        <w:t>). No other genetic modification</w:t>
      </w:r>
      <w:r w:rsidR="00B50BE1">
        <w:rPr>
          <w:rFonts w:eastAsiaTheme="minorHAnsi" w:cs="Arial"/>
          <w:color w:val="000000" w:themeColor="text1"/>
          <w:szCs w:val="22"/>
        </w:rPr>
        <w:t>s</w:t>
      </w:r>
      <w:r w:rsidR="00EC2872" w:rsidRPr="00797A2E">
        <w:rPr>
          <w:rFonts w:eastAsiaTheme="minorHAnsi" w:cs="Arial"/>
          <w:color w:val="000000" w:themeColor="text1"/>
          <w:szCs w:val="22"/>
        </w:rPr>
        <w:t xml:space="preserve"> </w:t>
      </w:r>
      <w:r w:rsidR="00B50BE1">
        <w:rPr>
          <w:rFonts w:eastAsiaTheme="minorHAnsi" w:cs="Arial"/>
          <w:color w:val="000000" w:themeColor="text1"/>
          <w:szCs w:val="22"/>
        </w:rPr>
        <w:t>were</w:t>
      </w:r>
      <w:r w:rsidR="00EC2872" w:rsidRPr="00797A2E">
        <w:rPr>
          <w:rFonts w:eastAsiaTheme="minorHAnsi" w:cs="Arial"/>
          <w:color w:val="000000" w:themeColor="text1"/>
          <w:szCs w:val="22"/>
        </w:rPr>
        <w:t xml:space="preserve"> introduced and </w:t>
      </w:r>
      <w:r w:rsidR="00EC2872" w:rsidRPr="00797A2E">
        <w:rPr>
          <w:rFonts w:eastAsiaTheme="minorHAnsi" w:cs="Arial"/>
          <w:color w:val="000000" w:themeColor="text1"/>
          <w:szCs w:val="22"/>
          <w:lang w:val="en-AU"/>
        </w:rPr>
        <w:t>no new proteins are produced in line E12.</w:t>
      </w:r>
    </w:p>
    <w:p w14:paraId="4FFE3AE3" w14:textId="77777777" w:rsidR="00EC2872" w:rsidRPr="00797A2E" w:rsidRDefault="00EC2872" w:rsidP="00EC2872">
      <w:pPr>
        <w:autoSpaceDE w:val="0"/>
        <w:autoSpaceDN w:val="0"/>
        <w:adjustRightInd w:val="0"/>
        <w:rPr>
          <w:rFonts w:eastAsiaTheme="minorHAnsi" w:cs="Arial"/>
          <w:color w:val="000000" w:themeColor="text1"/>
          <w:szCs w:val="22"/>
          <w:lang w:val="en-AU"/>
        </w:rPr>
      </w:pPr>
    </w:p>
    <w:p w14:paraId="77E66A25" w14:textId="4466480D" w:rsidR="00EC2872" w:rsidRDefault="00EC2872" w:rsidP="00EC2872">
      <w:pPr>
        <w:autoSpaceDE w:val="0"/>
        <w:autoSpaceDN w:val="0"/>
        <w:adjustRightInd w:val="0"/>
        <w:rPr>
          <w:rFonts w:eastAsiaTheme="minorHAnsi" w:cs="Arial"/>
          <w:color w:val="000000" w:themeColor="text1"/>
          <w:szCs w:val="22"/>
        </w:rPr>
      </w:pPr>
      <w:r w:rsidRPr="0018601D">
        <w:rPr>
          <w:rFonts w:eastAsiaTheme="minorHAnsi" w:cs="Arial"/>
          <w:color w:val="000000" w:themeColor="text1"/>
          <w:szCs w:val="22"/>
        </w:rPr>
        <w:t xml:space="preserve">The four potato genes targeted for reduced expression in the tubers were: </w:t>
      </w:r>
      <w:r w:rsidRPr="0018601D">
        <w:rPr>
          <w:rFonts w:eastAsiaTheme="minorHAnsi" w:cs="Arial"/>
          <w:i/>
          <w:color w:val="000000" w:themeColor="text1"/>
          <w:szCs w:val="22"/>
        </w:rPr>
        <w:t>asparagine synthetase-1</w:t>
      </w:r>
      <w:r w:rsidRPr="0018601D">
        <w:rPr>
          <w:rFonts w:eastAsiaTheme="minorHAnsi" w:cs="Arial"/>
          <w:color w:val="000000" w:themeColor="text1"/>
          <w:szCs w:val="22"/>
        </w:rPr>
        <w:t xml:space="preserve"> (</w:t>
      </w:r>
      <w:r w:rsidRPr="0018601D">
        <w:rPr>
          <w:rFonts w:eastAsiaTheme="minorHAnsi" w:cs="Arial"/>
          <w:i/>
          <w:color w:val="000000" w:themeColor="text1"/>
          <w:szCs w:val="22"/>
        </w:rPr>
        <w:t>Asn1</w:t>
      </w:r>
      <w:r w:rsidRPr="0018601D">
        <w:rPr>
          <w:rFonts w:eastAsiaTheme="minorHAnsi" w:cs="Arial"/>
          <w:color w:val="000000" w:themeColor="text1"/>
          <w:szCs w:val="22"/>
        </w:rPr>
        <w:t xml:space="preserve">), </w:t>
      </w:r>
      <w:r w:rsidR="00573029" w:rsidRPr="0018601D">
        <w:rPr>
          <w:rFonts w:eastAsiaTheme="minorHAnsi" w:cs="Arial"/>
          <w:i/>
          <w:color w:val="000000" w:themeColor="text1"/>
          <w:szCs w:val="22"/>
        </w:rPr>
        <w:t>phosphorylase</w:t>
      </w:r>
      <w:r w:rsidRPr="0018601D">
        <w:rPr>
          <w:rFonts w:eastAsiaTheme="minorHAnsi" w:cs="Arial"/>
          <w:i/>
          <w:color w:val="000000" w:themeColor="text1"/>
          <w:szCs w:val="22"/>
        </w:rPr>
        <w:t>-L</w:t>
      </w:r>
      <w:r w:rsidRPr="0018601D">
        <w:rPr>
          <w:rFonts w:eastAsiaTheme="minorHAnsi" w:cs="Arial"/>
          <w:color w:val="000000" w:themeColor="text1"/>
          <w:szCs w:val="22"/>
        </w:rPr>
        <w:t xml:space="preserve"> (</w:t>
      </w:r>
      <w:r w:rsidRPr="0018601D">
        <w:rPr>
          <w:rFonts w:eastAsiaTheme="minorHAnsi" w:cs="Arial"/>
          <w:i/>
          <w:color w:val="000000" w:themeColor="text1"/>
          <w:szCs w:val="22"/>
        </w:rPr>
        <w:t>PhL</w:t>
      </w:r>
      <w:r w:rsidRPr="0018601D">
        <w:rPr>
          <w:rFonts w:eastAsiaTheme="minorHAnsi" w:cs="Arial"/>
          <w:color w:val="000000" w:themeColor="text1"/>
          <w:szCs w:val="22"/>
        </w:rPr>
        <w:t xml:space="preserve">), </w:t>
      </w:r>
      <w:r w:rsidRPr="0018601D">
        <w:rPr>
          <w:rFonts w:eastAsiaTheme="minorHAnsi" w:cs="Arial"/>
          <w:i/>
          <w:color w:val="000000" w:themeColor="text1"/>
          <w:szCs w:val="22"/>
        </w:rPr>
        <w:t>water dikinase R1</w:t>
      </w:r>
      <w:r w:rsidRPr="0018601D">
        <w:rPr>
          <w:rFonts w:eastAsiaTheme="minorHAnsi" w:cs="Arial"/>
          <w:color w:val="000000" w:themeColor="text1"/>
          <w:szCs w:val="22"/>
        </w:rPr>
        <w:t xml:space="preserve"> (</w:t>
      </w:r>
      <w:r w:rsidRPr="0018601D">
        <w:rPr>
          <w:rFonts w:eastAsiaTheme="minorHAnsi" w:cs="Arial"/>
          <w:i/>
          <w:color w:val="000000" w:themeColor="text1"/>
          <w:szCs w:val="22"/>
        </w:rPr>
        <w:t>R1</w:t>
      </w:r>
      <w:r w:rsidRPr="0018601D">
        <w:rPr>
          <w:rFonts w:eastAsiaTheme="minorHAnsi" w:cs="Arial"/>
          <w:color w:val="000000" w:themeColor="text1"/>
          <w:szCs w:val="22"/>
        </w:rPr>
        <w:t xml:space="preserve">), and </w:t>
      </w:r>
      <w:r w:rsidRPr="0018601D">
        <w:rPr>
          <w:rFonts w:eastAsiaTheme="minorHAnsi" w:cs="Arial"/>
          <w:i/>
          <w:color w:val="000000" w:themeColor="text1"/>
          <w:szCs w:val="22"/>
        </w:rPr>
        <w:t>polyphenol oxidase-5</w:t>
      </w:r>
      <w:r w:rsidRPr="0018601D">
        <w:rPr>
          <w:rFonts w:eastAsiaTheme="minorHAnsi" w:cs="Arial"/>
          <w:color w:val="000000" w:themeColor="text1"/>
          <w:szCs w:val="22"/>
        </w:rPr>
        <w:t xml:space="preserve"> (</w:t>
      </w:r>
      <w:r w:rsidRPr="0018601D">
        <w:rPr>
          <w:rFonts w:eastAsiaTheme="minorHAnsi" w:cs="Arial"/>
          <w:i/>
          <w:color w:val="000000" w:themeColor="text1"/>
          <w:szCs w:val="22"/>
        </w:rPr>
        <w:t>Ppo5</w:t>
      </w:r>
      <w:r w:rsidRPr="0018601D">
        <w:rPr>
          <w:rFonts w:eastAsiaTheme="minorHAnsi" w:cs="Arial"/>
          <w:color w:val="000000" w:themeColor="text1"/>
          <w:szCs w:val="22"/>
        </w:rPr>
        <w:t>). The aim of suppress</w:t>
      </w:r>
      <w:r w:rsidR="00B50BE1">
        <w:rPr>
          <w:rFonts w:eastAsiaTheme="minorHAnsi" w:cs="Arial"/>
          <w:color w:val="000000" w:themeColor="text1"/>
          <w:szCs w:val="22"/>
        </w:rPr>
        <w:t>ing</w:t>
      </w:r>
      <w:r w:rsidRPr="0018601D">
        <w:rPr>
          <w:rFonts w:eastAsiaTheme="minorHAnsi" w:cs="Arial"/>
          <w:color w:val="000000" w:themeColor="text1"/>
          <w:szCs w:val="22"/>
        </w:rPr>
        <w:t xml:space="preserve"> </w:t>
      </w:r>
      <w:r w:rsidRPr="0018601D">
        <w:rPr>
          <w:rFonts w:eastAsiaTheme="minorHAnsi" w:cs="Arial"/>
          <w:i/>
          <w:color w:val="000000" w:themeColor="text1"/>
          <w:szCs w:val="22"/>
        </w:rPr>
        <w:t>Asn1</w:t>
      </w:r>
      <w:r w:rsidRPr="0018601D">
        <w:rPr>
          <w:rFonts w:eastAsiaTheme="minorHAnsi" w:cs="Arial"/>
          <w:color w:val="000000" w:themeColor="text1"/>
          <w:szCs w:val="22"/>
        </w:rPr>
        <w:t xml:space="preserve"> was to reduce levels of free asparagine</w:t>
      </w:r>
      <w:r w:rsidR="00567AD7">
        <w:rPr>
          <w:rFonts w:eastAsiaTheme="minorHAnsi" w:cs="Arial"/>
          <w:color w:val="000000" w:themeColor="text1"/>
          <w:szCs w:val="22"/>
        </w:rPr>
        <w:t>.</w:t>
      </w:r>
      <w:r w:rsidRPr="0018601D">
        <w:rPr>
          <w:rFonts w:eastAsiaTheme="minorHAnsi" w:cs="Arial"/>
          <w:color w:val="000000" w:themeColor="text1"/>
          <w:szCs w:val="22"/>
        </w:rPr>
        <w:t xml:space="preserve"> </w:t>
      </w:r>
      <w:r w:rsidR="00567AD7">
        <w:rPr>
          <w:rFonts w:eastAsiaTheme="minorHAnsi" w:cs="Arial"/>
          <w:color w:val="000000" w:themeColor="text1"/>
          <w:szCs w:val="22"/>
        </w:rPr>
        <w:t>T</w:t>
      </w:r>
      <w:r w:rsidRPr="0018601D">
        <w:rPr>
          <w:rFonts w:eastAsiaTheme="minorHAnsi" w:cs="Arial"/>
          <w:color w:val="000000" w:themeColor="text1"/>
          <w:szCs w:val="22"/>
        </w:rPr>
        <w:t>he aim of suppress</w:t>
      </w:r>
      <w:r w:rsidR="00864F14">
        <w:rPr>
          <w:rFonts w:eastAsiaTheme="minorHAnsi" w:cs="Arial"/>
          <w:color w:val="000000" w:themeColor="text1"/>
          <w:szCs w:val="22"/>
        </w:rPr>
        <w:t>ing</w:t>
      </w:r>
      <w:r w:rsidRPr="0018601D">
        <w:rPr>
          <w:rFonts w:eastAsiaTheme="minorHAnsi" w:cs="Arial"/>
          <w:color w:val="000000" w:themeColor="text1"/>
          <w:szCs w:val="22"/>
        </w:rPr>
        <w:t xml:space="preserve"> </w:t>
      </w:r>
      <w:r w:rsidRPr="0018601D">
        <w:rPr>
          <w:rFonts w:eastAsiaTheme="minorHAnsi" w:cs="Arial"/>
          <w:i/>
          <w:color w:val="000000" w:themeColor="text1"/>
          <w:szCs w:val="22"/>
        </w:rPr>
        <w:t>PhL</w:t>
      </w:r>
      <w:r w:rsidRPr="0018601D">
        <w:rPr>
          <w:rFonts w:eastAsiaTheme="minorHAnsi" w:cs="Arial"/>
          <w:color w:val="000000" w:themeColor="text1"/>
          <w:szCs w:val="22"/>
        </w:rPr>
        <w:t xml:space="preserve"> and </w:t>
      </w:r>
      <w:r w:rsidRPr="0018601D">
        <w:rPr>
          <w:rFonts w:eastAsiaTheme="minorHAnsi" w:cs="Arial"/>
          <w:i/>
          <w:color w:val="000000" w:themeColor="text1"/>
          <w:szCs w:val="22"/>
        </w:rPr>
        <w:t>R1</w:t>
      </w:r>
      <w:r w:rsidRPr="0018601D">
        <w:rPr>
          <w:rFonts w:eastAsiaTheme="minorHAnsi" w:cs="Arial"/>
          <w:color w:val="000000" w:themeColor="text1"/>
          <w:szCs w:val="22"/>
        </w:rPr>
        <w:t xml:space="preserve"> was to reduce levels of the reducing sugars, fructose </w:t>
      </w:r>
      <w:r w:rsidRPr="00EC2872">
        <w:rPr>
          <w:rFonts w:eastAsiaTheme="minorHAnsi" w:cs="Arial"/>
          <w:color w:val="000000" w:themeColor="text1"/>
          <w:szCs w:val="22"/>
        </w:rPr>
        <w:t xml:space="preserve">and glucose. Collectively, the reduction of free asparagine and reducing sugars was expected to result in potato tubers with reduced acrylamide potential. Reduced expression of </w:t>
      </w:r>
      <w:r w:rsidRPr="00EC2872">
        <w:rPr>
          <w:rFonts w:eastAsiaTheme="minorHAnsi" w:cs="Arial"/>
          <w:i/>
          <w:color w:val="000000" w:themeColor="text1"/>
          <w:szCs w:val="22"/>
        </w:rPr>
        <w:t>Ppo5</w:t>
      </w:r>
      <w:r w:rsidRPr="00EC2872">
        <w:rPr>
          <w:rFonts w:eastAsiaTheme="minorHAnsi" w:cs="Arial"/>
          <w:color w:val="000000" w:themeColor="text1"/>
          <w:szCs w:val="22"/>
        </w:rPr>
        <w:t xml:space="preserve"> was expected to result in tubers with reduced blackspot bruising. </w:t>
      </w:r>
    </w:p>
    <w:p w14:paraId="6BAED5CB" w14:textId="6F6C8928" w:rsidR="00735749" w:rsidRDefault="00735749" w:rsidP="00EC2872">
      <w:pPr>
        <w:autoSpaceDE w:val="0"/>
        <w:autoSpaceDN w:val="0"/>
        <w:adjustRightInd w:val="0"/>
        <w:rPr>
          <w:rFonts w:eastAsiaTheme="minorHAnsi" w:cs="Arial"/>
          <w:color w:val="000000" w:themeColor="text1"/>
          <w:szCs w:val="22"/>
        </w:rPr>
      </w:pPr>
    </w:p>
    <w:p w14:paraId="4A3F0A60" w14:textId="1AED36AB" w:rsidR="00735749" w:rsidRPr="00EC2872" w:rsidRDefault="00735749" w:rsidP="00735749">
      <w:pPr>
        <w:rPr>
          <w:color w:val="000000" w:themeColor="text1"/>
        </w:rPr>
      </w:pPr>
      <w:r w:rsidRPr="00EC2872">
        <w:rPr>
          <w:rFonts w:eastAsiaTheme="minorHAnsi" w:cs="Arial"/>
          <w:color w:val="000000" w:themeColor="text1"/>
          <w:szCs w:val="22"/>
        </w:rPr>
        <w:t xml:space="preserve">What actually occurred was a reduction in the expression levels of </w:t>
      </w:r>
      <w:r w:rsidRPr="00EC2872">
        <w:rPr>
          <w:rFonts w:eastAsiaTheme="minorHAnsi" w:cs="Arial"/>
          <w:i/>
          <w:color w:val="000000" w:themeColor="text1"/>
          <w:szCs w:val="22"/>
        </w:rPr>
        <w:t>A</w:t>
      </w:r>
      <w:r w:rsidR="005729D0">
        <w:rPr>
          <w:rFonts w:eastAsiaTheme="minorHAnsi" w:cs="Arial"/>
          <w:i/>
          <w:color w:val="000000" w:themeColor="text1"/>
          <w:szCs w:val="22"/>
        </w:rPr>
        <w:t>s</w:t>
      </w:r>
      <w:r w:rsidRPr="00EC2872">
        <w:rPr>
          <w:rFonts w:eastAsiaTheme="minorHAnsi" w:cs="Arial"/>
          <w:i/>
          <w:color w:val="000000" w:themeColor="text1"/>
          <w:szCs w:val="22"/>
        </w:rPr>
        <w:t>n1</w:t>
      </w:r>
      <w:r w:rsidRPr="00EC2872">
        <w:rPr>
          <w:rFonts w:eastAsiaTheme="minorHAnsi" w:cs="Arial"/>
          <w:color w:val="000000" w:themeColor="text1"/>
          <w:szCs w:val="22"/>
        </w:rPr>
        <w:t xml:space="preserve"> and </w:t>
      </w:r>
      <w:r w:rsidRPr="00EC2872">
        <w:rPr>
          <w:rFonts w:eastAsiaTheme="minorHAnsi" w:cs="Arial"/>
          <w:i/>
          <w:color w:val="000000" w:themeColor="text1"/>
          <w:szCs w:val="22"/>
        </w:rPr>
        <w:t>Ppo5</w:t>
      </w:r>
      <w:r w:rsidRPr="00EC2872">
        <w:rPr>
          <w:rFonts w:eastAsiaTheme="minorHAnsi" w:cs="Arial"/>
          <w:color w:val="000000" w:themeColor="text1"/>
          <w:szCs w:val="22"/>
        </w:rPr>
        <w:t xml:space="preserve"> but not of </w:t>
      </w:r>
      <w:r w:rsidRPr="00EC2872">
        <w:rPr>
          <w:rFonts w:eastAsiaTheme="minorHAnsi" w:cs="Arial"/>
          <w:i/>
          <w:color w:val="000000" w:themeColor="text1"/>
          <w:szCs w:val="22"/>
        </w:rPr>
        <w:t>PhL</w:t>
      </w:r>
      <w:r w:rsidRPr="00EC2872">
        <w:rPr>
          <w:rFonts w:eastAsiaTheme="minorHAnsi" w:cs="Arial"/>
          <w:color w:val="000000" w:themeColor="text1"/>
          <w:szCs w:val="22"/>
        </w:rPr>
        <w:t xml:space="preserve"> and </w:t>
      </w:r>
      <w:r w:rsidRPr="00EC2872">
        <w:rPr>
          <w:rFonts w:eastAsiaTheme="minorHAnsi" w:cs="Arial"/>
          <w:i/>
          <w:color w:val="000000" w:themeColor="text1"/>
          <w:szCs w:val="22"/>
        </w:rPr>
        <w:t>R1</w:t>
      </w:r>
      <w:r w:rsidRPr="00EC2872">
        <w:rPr>
          <w:rFonts w:eastAsiaTheme="minorHAnsi" w:cs="Arial"/>
          <w:color w:val="000000" w:themeColor="text1"/>
          <w:szCs w:val="22"/>
        </w:rPr>
        <w:t xml:space="preserve">. Despite not reducing the expression of </w:t>
      </w:r>
      <w:r w:rsidRPr="00EC2872">
        <w:rPr>
          <w:rFonts w:eastAsiaTheme="minorHAnsi" w:cs="Arial"/>
          <w:i/>
          <w:color w:val="000000" w:themeColor="text1"/>
          <w:szCs w:val="22"/>
        </w:rPr>
        <w:t>PhL</w:t>
      </w:r>
      <w:r w:rsidRPr="00EC2872">
        <w:rPr>
          <w:rFonts w:eastAsiaTheme="minorHAnsi" w:cs="Arial"/>
          <w:color w:val="000000" w:themeColor="text1"/>
          <w:szCs w:val="22"/>
        </w:rPr>
        <w:t xml:space="preserve"> and </w:t>
      </w:r>
      <w:r w:rsidRPr="00EC2872">
        <w:rPr>
          <w:rFonts w:eastAsiaTheme="minorHAnsi" w:cs="Arial"/>
          <w:i/>
          <w:color w:val="000000" w:themeColor="text1"/>
          <w:szCs w:val="22"/>
        </w:rPr>
        <w:t xml:space="preserve">R1 </w:t>
      </w:r>
      <w:r w:rsidRPr="00EC2872">
        <w:rPr>
          <w:rFonts w:eastAsiaTheme="minorHAnsi" w:cs="Arial"/>
          <w:color w:val="000000" w:themeColor="text1"/>
          <w:szCs w:val="22"/>
        </w:rPr>
        <w:t xml:space="preserve">and therefore not significantly lowering the levels of fructose and glucose, the reduction in expression of </w:t>
      </w:r>
      <w:r w:rsidRPr="00EC2872">
        <w:rPr>
          <w:rFonts w:eastAsiaTheme="minorHAnsi" w:cs="Arial"/>
          <w:i/>
          <w:color w:val="000000" w:themeColor="text1"/>
          <w:szCs w:val="22"/>
        </w:rPr>
        <w:t>ASn1</w:t>
      </w:r>
      <w:r w:rsidRPr="00EC2872">
        <w:rPr>
          <w:rFonts w:eastAsiaTheme="minorHAnsi" w:cs="Arial"/>
          <w:color w:val="000000" w:themeColor="text1"/>
          <w:szCs w:val="22"/>
        </w:rPr>
        <w:t xml:space="preserve"> was sufficient by itself to produce the desired trait (reduced acrylamide production) in cooked products (fries) of E12. The reduction in </w:t>
      </w:r>
      <w:r w:rsidRPr="00EC2872">
        <w:rPr>
          <w:rFonts w:eastAsiaTheme="minorHAnsi" w:cs="Arial"/>
          <w:i/>
          <w:color w:val="000000" w:themeColor="text1"/>
          <w:szCs w:val="22"/>
        </w:rPr>
        <w:t>Ppo5</w:t>
      </w:r>
      <w:r w:rsidRPr="00EC2872">
        <w:rPr>
          <w:rFonts w:eastAsiaTheme="minorHAnsi" w:cs="Arial"/>
          <w:color w:val="000000" w:themeColor="text1"/>
          <w:szCs w:val="22"/>
        </w:rPr>
        <w:t xml:space="preserve"> expression did successfully reduce the activity of polyphenol oxidase (PPO), the enzyme that leads to a darkening of damaged tissue.</w:t>
      </w:r>
    </w:p>
    <w:p w14:paraId="6E445882" w14:textId="347920B1" w:rsidR="007A53BF" w:rsidRPr="00756A52" w:rsidRDefault="007A53BF" w:rsidP="00EC2872">
      <w:pPr>
        <w:pStyle w:val="Heading2"/>
      </w:pPr>
      <w:bookmarkStart w:id="26" w:name="_Toc463450487"/>
      <w:r w:rsidRPr="00756A52">
        <w:t>1.3</w:t>
      </w:r>
      <w:r w:rsidRPr="00756A52">
        <w:tab/>
        <w:t>The current Standard</w:t>
      </w:r>
      <w:bookmarkEnd w:id="18"/>
      <w:bookmarkEnd w:id="19"/>
      <w:bookmarkEnd w:id="20"/>
      <w:bookmarkEnd w:id="26"/>
    </w:p>
    <w:p w14:paraId="6E79A827" w14:textId="42CB25F0" w:rsidR="00C75FD6" w:rsidRPr="00107E06" w:rsidRDefault="00C75FD6" w:rsidP="00C75FD6">
      <w:pPr>
        <w:rPr>
          <w:color w:val="000000" w:themeColor="text1"/>
        </w:rPr>
      </w:pPr>
      <w:bookmarkStart w:id="27" w:name="_Toc286391007"/>
      <w:bookmarkStart w:id="28" w:name="_Toc300933423"/>
      <w:bookmarkStart w:id="29" w:name="_Toc370223468"/>
      <w:bookmarkStart w:id="30" w:name="_Toc175381432"/>
      <w:r w:rsidRPr="00107E06">
        <w:rPr>
          <w:color w:val="000000" w:themeColor="text1"/>
        </w:rPr>
        <w:t xml:space="preserve">Pre-market approval is necessary before a GM food may enter the Australian and New Zealand food supply. Approval of such foods is contingent on completion of a comprehensive pre-market safety assessment. </w:t>
      </w:r>
      <w:r w:rsidRPr="00107E06" w:rsidDel="00C41B34">
        <w:rPr>
          <w:color w:val="000000" w:themeColor="text1"/>
        </w:rPr>
        <w:t>Standard 1.5.2</w:t>
      </w:r>
      <w:r w:rsidRPr="00107E06">
        <w:rPr>
          <w:color w:val="000000" w:themeColor="text1"/>
        </w:rPr>
        <w:t xml:space="preserve"> </w:t>
      </w:r>
      <w:r w:rsidR="0038635B">
        <w:rPr>
          <w:color w:val="000000" w:themeColor="text1"/>
        </w:rPr>
        <w:t xml:space="preserve">of the </w:t>
      </w:r>
      <w:r w:rsidR="0038635B" w:rsidRPr="0038635B">
        <w:rPr>
          <w:i/>
          <w:color w:val="000000" w:themeColor="text1"/>
        </w:rPr>
        <w:t>Australia New Zealand Food Standards Code</w:t>
      </w:r>
      <w:r w:rsidR="0038635B">
        <w:rPr>
          <w:color w:val="000000" w:themeColor="text1"/>
        </w:rPr>
        <w:t xml:space="preserve"> (the Code) </w:t>
      </w:r>
      <w:r w:rsidRPr="00107E06">
        <w:rPr>
          <w:color w:val="000000" w:themeColor="text1"/>
        </w:rPr>
        <w:t xml:space="preserve">sets out the permission and conditions for the sale and use of food produced using gene technology (a GM food). Foods that have been assessed and approved are listed in Schedule 26. </w:t>
      </w:r>
    </w:p>
    <w:p w14:paraId="4C34DBF3" w14:textId="77777777" w:rsidR="00C75FD6" w:rsidRPr="00107E06" w:rsidRDefault="00C75FD6" w:rsidP="00C75FD6">
      <w:pPr>
        <w:rPr>
          <w:color w:val="000000" w:themeColor="text1"/>
        </w:rPr>
      </w:pPr>
    </w:p>
    <w:p w14:paraId="22E6D5D1" w14:textId="3F27FA7E" w:rsidR="007C31FF" w:rsidRDefault="00C75FD6" w:rsidP="00C75FD6">
      <w:pPr>
        <w:rPr>
          <w:color w:val="000000" w:themeColor="text1"/>
        </w:rPr>
      </w:pPr>
      <w:r w:rsidRPr="00107E06">
        <w:rPr>
          <w:color w:val="000000" w:themeColor="text1"/>
        </w:rPr>
        <w:t xml:space="preserve">Standard 1.5.2 </w:t>
      </w:r>
      <w:r>
        <w:rPr>
          <w:color w:val="000000" w:themeColor="text1"/>
        </w:rPr>
        <w:t xml:space="preserve">also </w:t>
      </w:r>
      <w:r w:rsidRPr="00107E06">
        <w:rPr>
          <w:color w:val="000000" w:themeColor="text1"/>
        </w:rPr>
        <w:t xml:space="preserve">contains specific labelling provisions for approved GM foods. GM foods and ingredients (including food additives and processing aids from GM sources) must be identified on labels with the words ‘genetically modified’, if novel DNA or novel protein (as defined in Standard 1.5.2) is present in the food. Foods listed in subsections S26—3(2) and (3) of Schedule 26 must also be labelled with the words ‘genetically modified’, as well as any other additional labelling required by the Schedule, regardless of the presence of novel DNA or novel protein in the foods. </w:t>
      </w:r>
      <w:r>
        <w:rPr>
          <w:color w:val="000000" w:themeColor="text1"/>
        </w:rPr>
        <w:t>F</w:t>
      </w:r>
      <w:r w:rsidRPr="00107E06">
        <w:rPr>
          <w:color w:val="000000" w:themeColor="text1"/>
        </w:rPr>
        <w:t xml:space="preserve">oods listed in subsections S26—3(2) and (3) </w:t>
      </w:r>
      <w:r>
        <w:rPr>
          <w:color w:val="000000" w:themeColor="text1"/>
        </w:rPr>
        <w:t xml:space="preserve">are considered to </w:t>
      </w:r>
      <w:r w:rsidRPr="00107E06">
        <w:rPr>
          <w:color w:val="000000" w:themeColor="text1"/>
        </w:rPr>
        <w:t>have an altered characteristic, such as an altered composition or nutritional profile, when compared to the existing counterpart food that is not produced using gene technology.</w:t>
      </w:r>
      <w:r w:rsidR="007C31FF">
        <w:rPr>
          <w:color w:val="000000" w:themeColor="text1"/>
        </w:rPr>
        <w:br w:type="page"/>
      </w:r>
    </w:p>
    <w:p w14:paraId="475F651F" w14:textId="17C9D873" w:rsidR="007A53BF" w:rsidRPr="00756A52" w:rsidRDefault="007A53BF" w:rsidP="00CE59AA">
      <w:pPr>
        <w:pStyle w:val="Heading2"/>
        <w:rPr>
          <w:u w:color="FFFF00"/>
        </w:rPr>
      </w:pPr>
      <w:bookmarkStart w:id="31" w:name="_Toc463450488"/>
      <w:r w:rsidRPr="00756A52">
        <w:rPr>
          <w:u w:color="FFFF00"/>
        </w:rPr>
        <w:lastRenderedPageBreak/>
        <w:t>1.4</w:t>
      </w:r>
      <w:r w:rsidRPr="00756A52">
        <w:rPr>
          <w:u w:color="FFFF00"/>
        </w:rPr>
        <w:tab/>
        <w:t>Reasons for accepting</w:t>
      </w:r>
      <w:r w:rsidR="00340CD2" w:rsidRPr="00756A52">
        <w:rPr>
          <w:u w:color="FFFF00"/>
        </w:rPr>
        <w:t xml:space="preserve"> the</w:t>
      </w:r>
      <w:r w:rsidRPr="00756A52">
        <w:rPr>
          <w:u w:color="FFFF00"/>
        </w:rPr>
        <w:t xml:space="preserve"> Application</w:t>
      </w:r>
      <w:bookmarkEnd w:id="27"/>
      <w:bookmarkEnd w:id="28"/>
      <w:bookmarkEnd w:id="29"/>
      <w:bookmarkEnd w:id="31"/>
    </w:p>
    <w:p w14:paraId="31B73C51" w14:textId="77777777" w:rsidR="00E9657D" w:rsidRPr="00756A52" w:rsidRDefault="00E9657D" w:rsidP="00E9657D">
      <w:bookmarkStart w:id="32" w:name="_Toc370223469"/>
      <w:bookmarkEnd w:id="30"/>
      <w:r w:rsidRPr="00756A52">
        <w:t>The Application was accepted for assessment because:</w:t>
      </w:r>
    </w:p>
    <w:p w14:paraId="5D91B209" w14:textId="77777777" w:rsidR="00E9657D" w:rsidRPr="00756A52" w:rsidRDefault="00E9657D" w:rsidP="00E9657D"/>
    <w:p w14:paraId="3967EF77" w14:textId="77777777" w:rsidR="00E9657D" w:rsidRPr="00756A52" w:rsidRDefault="00E9657D" w:rsidP="002F1833">
      <w:pPr>
        <w:pStyle w:val="FSBullet1"/>
        <w:numPr>
          <w:ilvl w:val="0"/>
          <w:numId w:val="5"/>
        </w:numPr>
        <w:ind w:left="567" w:hanging="567"/>
      </w:pPr>
      <w:r w:rsidRPr="00756A52">
        <w:t>it complied with the procedural requirements under subsection 22(2) of the FSANZ Act</w:t>
      </w:r>
    </w:p>
    <w:p w14:paraId="635A8D28" w14:textId="77777777" w:rsidR="00E9657D" w:rsidRPr="00756A52" w:rsidRDefault="00E9657D" w:rsidP="002F1833">
      <w:pPr>
        <w:pStyle w:val="FSBullet1"/>
        <w:numPr>
          <w:ilvl w:val="0"/>
          <w:numId w:val="5"/>
        </w:numPr>
        <w:ind w:left="567" w:hanging="567"/>
      </w:pPr>
      <w:r w:rsidRPr="00756A52">
        <w:t>it related to a matter that warranted the variation of a food regulatory measure</w:t>
      </w:r>
    </w:p>
    <w:p w14:paraId="23E62B13" w14:textId="77777777" w:rsidR="00E9657D" w:rsidRPr="00756A52" w:rsidRDefault="00E9657D" w:rsidP="002F1833">
      <w:pPr>
        <w:pStyle w:val="FSBullet1"/>
        <w:numPr>
          <w:ilvl w:val="0"/>
          <w:numId w:val="6"/>
        </w:numPr>
        <w:ind w:left="567" w:hanging="567"/>
      </w:pPr>
      <w:r w:rsidRPr="00756A52">
        <w:t>it was not so similar to a previous application for the variation of a food regulatory measure that it ought to be rejected.</w:t>
      </w:r>
    </w:p>
    <w:p w14:paraId="500F2ED3" w14:textId="77777777" w:rsidR="007A53BF" w:rsidRPr="00756A52" w:rsidRDefault="007A53BF" w:rsidP="00CE59AA">
      <w:pPr>
        <w:pStyle w:val="Heading2"/>
      </w:pPr>
      <w:bookmarkStart w:id="33" w:name="_Toc463450489"/>
      <w:r w:rsidRPr="00756A52">
        <w:t>1.5</w:t>
      </w:r>
      <w:r w:rsidRPr="00756A52">
        <w:tab/>
        <w:t>Procedure for assessment</w:t>
      </w:r>
      <w:bookmarkEnd w:id="32"/>
      <w:bookmarkEnd w:id="33"/>
    </w:p>
    <w:p w14:paraId="718433F5" w14:textId="77777777" w:rsidR="00E9657D" w:rsidRPr="00756A52" w:rsidRDefault="00E9657D" w:rsidP="00E9657D">
      <w:r w:rsidRPr="00756A52">
        <w:t>The Application was assessed under the General Procedure.</w:t>
      </w:r>
    </w:p>
    <w:p w14:paraId="77CA4000" w14:textId="77777777" w:rsidR="00422EC9" w:rsidRPr="00756A52" w:rsidRDefault="007A53BF" w:rsidP="00422EC9">
      <w:pPr>
        <w:pStyle w:val="Heading2"/>
      </w:pPr>
      <w:bookmarkStart w:id="34" w:name="_Toc463450490"/>
      <w:r w:rsidRPr="00756A52">
        <w:t>1</w:t>
      </w:r>
      <w:r w:rsidR="00422EC9" w:rsidRPr="00756A52">
        <w:t>.6</w:t>
      </w:r>
      <w:r w:rsidR="00422EC9" w:rsidRPr="00756A52">
        <w:tab/>
        <w:t>Decision</w:t>
      </w:r>
      <w:bookmarkEnd w:id="34"/>
    </w:p>
    <w:p w14:paraId="0B654023" w14:textId="0081B9CA" w:rsidR="000D12A9" w:rsidRDefault="00422EC9" w:rsidP="000D12A9">
      <w:r w:rsidRPr="00756A52">
        <w:t>T</w:t>
      </w:r>
      <w:r w:rsidR="00E9657D" w:rsidRPr="00756A52">
        <w:t>he draft</w:t>
      </w:r>
      <w:r w:rsidR="00E30092" w:rsidRPr="00756A52">
        <w:t xml:space="preserve"> variation</w:t>
      </w:r>
      <w:r w:rsidRPr="00756A52">
        <w:t xml:space="preserve"> as proposed following assessment was approved without change</w:t>
      </w:r>
      <w:r w:rsidR="00E9657D" w:rsidRPr="00756A52">
        <w:t>.</w:t>
      </w:r>
      <w:r w:rsidR="002C1A3B" w:rsidRPr="00756A52">
        <w:t xml:space="preserve"> The variation </w:t>
      </w:r>
      <w:r w:rsidR="000D12A9" w:rsidRPr="00756A52">
        <w:t>to the</w:t>
      </w:r>
      <w:r w:rsidR="00207E49" w:rsidRPr="00756A52">
        <w:t xml:space="preserve"> Code </w:t>
      </w:r>
      <w:r w:rsidR="00DB26D8" w:rsidRPr="00756A52">
        <w:t>comes into effect on gazettal.</w:t>
      </w:r>
      <w:r w:rsidR="00207E49" w:rsidRPr="00756A52">
        <w:t xml:space="preserve"> </w:t>
      </w:r>
      <w:bookmarkStart w:id="35" w:name="_Toc4150622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rsidR="000D12A9" w:rsidRPr="00756A52">
        <w:t>The approved draft variation to the Code is at Attachment A.</w:t>
      </w:r>
    </w:p>
    <w:p w14:paraId="2AAA3BB7" w14:textId="77777777" w:rsidR="00DA5396" w:rsidRPr="00756A52" w:rsidRDefault="00DA5396" w:rsidP="000D12A9"/>
    <w:p w14:paraId="0D6F7189" w14:textId="3EB6EFBB" w:rsidR="000D12A9" w:rsidRPr="00756A52" w:rsidRDefault="00101AC4" w:rsidP="000D12A9">
      <w:r w:rsidRPr="00756A52">
        <w:t>The related</w:t>
      </w:r>
      <w:r w:rsidR="000D12A9" w:rsidRPr="00756A52">
        <w:t xml:space="preserve"> explanatory statement is at Attachment B. An explanatory statement is required to accompany an instrument if it is lodged on the Federal Reg</w:t>
      </w:r>
      <w:r w:rsidR="00EC0386" w:rsidRPr="00756A52">
        <w:t>ister of Legislation</w:t>
      </w:r>
      <w:r w:rsidR="000D12A9" w:rsidRPr="00756A52">
        <w:t>.</w:t>
      </w:r>
    </w:p>
    <w:p w14:paraId="21DCEAC3" w14:textId="16245889" w:rsidR="0012388D" w:rsidRPr="00756A52" w:rsidRDefault="007A53BF" w:rsidP="000D12A9">
      <w:pPr>
        <w:pStyle w:val="Heading1"/>
      </w:pPr>
      <w:bookmarkStart w:id="42" w:name="_Toc463450491"/>
      <w:bookmarkEnd w:id="35"/>
      <w:r w:rsidRPr="00756A52">
        <w:t>2</w:t>
      </w:r>
      <w:r w:rsidR="00AC428E" w:rsidRPr="00756A52">
        <w:tab/>
      </w:r>
      <w:r w:rsidR="00AF387F" w:rsidRPr="00756A52">
        <w:t>Summary of the findings</w:t>
      </w:r>
      <w:bookmarkEnd w:id="42"/>
    </w:p>
    <w:p w14:paraId="332707DF" w14:textId="77777777" w:rsidR="007A53BF" w:rsidRPr="00756A52" w:rsidRDefault="007A53BF" w:rsidP="007A53BF">
      <w:pPr>
        <w:pStyle w:val="Heading2"/>
      </w:pPr>
      <w:bookmarkStart w:id="43" w:name="_Toc300933438"/>
      <w:bookmarkStart w:id="44" w:name="_Toc370223471"/>
      <w:bookmarkStart w:id="45" w:name="_Toc370225386"/>
      <w:bookmarkStart w:id="46" w:name="_Toc463450492"/>
      <w:bookmarkStart w:id="47" w:name="_Toc286391009"/>
      <w:bookmarkStart w:id="48" w:name="_Toc300933425"/>
      <w:bookmarkStart w:id="49" w:name="_Toc309291838"/>
      <w:bookmarkStart w:id="50" w:name="_Toc309385455"/>
      <w:bookmarkStart w:id="51" w:name="_Toc120358583"/>
      <w:bookmarkStart w:id="52" w:name="_Toc175381440"/>
      <w:r w:rsidRPr="00756A52">
        <w:t>2.1</w:t>
      </w:r>
      <w:r w:rsidRPr="00756A52">
        <w:tab/>
        <w:t xml:space="preserve">Summary of issues raised </w:t>
      </w:r>
      <w:bookmarkEnd w:id="43"/>
      <w:r w:rsidRPr="00756A52">
        <w:t>in submissions</w:t>
      </w:r>
      <w:bookmarkEnd w:id="44"/>
      <w:bookmarkEnd w:id="45"/>
      <w:bookmarkEnd w:id="46"/>
    </w:p>
    <w:p w14:paraId="7B65B5FF" w14:textId="77777777" w:rsidR="00BD2F6D" w:rsidRPr="00756A52" w:rsidRDefault="00BD2F6D" w:rsidP="00BD2F6D">
      <w:pPr>
        <w:pStyle w:val="Heading3"/>
      </w:pPr>
      <w:bookmarkStart w:id="53" w:name="_Toc463450493"/>
      <w:bookmarkStart w:id="54" w:name="_Toc370223472"/>
      <w:bookmarkStart w:id="55" w:name="_Toc370225387"/>
      <w:bookmarkStart w:id="56" w:name="_Toc309291812"/>
      <w:bookmarkStart w:id="57" w:name="_Toc175381442"/>
      <w:bookmarkEnd w:id="47"/>
      <w:bookmarkEnd w:id="48"/>
      <w:bookmarkEnd w:id="49"/>
      <w:bookmarkEnd w:id="50"/>
      <w:bookmarkEnd w:id="51"/>
      <w:bookmarkEnd w:id="52"/>
      <w:r w:rsidRPr="00756A52">
        <w:t>2.1.1</w:t>
      </w:r>
      <w:r w:rsidRPr="00756A52">
        <w:tab/>
        <w:t>General Issues</w:t>
      </w:r>
      <w:bookmarkEnd w:id="53"/>
    </w:p>
    <w:p w14:paraId="09811556" w14:textId="52541508" w:rsidR="00616540" w:rsidRDefault="00770DA3" w:rsidP="00BD2F6D">
      <w:r w:rsidRPr="00756A52">
        <w:t xml:space="preserve">A total </w:t>
      </w:r>
      <w:r w:rsidRPr="004E17C2">
        <w:t xml:space="preserve">of </w:t>
      </w:r>
      <w:r w:rsidR="00DB27A1">
        <w:t>15</w:t>
      </w:r>
      <w:r w:rsidRPr="004E17C2">
        <w:t xml:space="preserve"> </w:t>
      </w:r>
      <w:r w:rsidR="00BD2F6D" w:rsidRPr="004E17C2">
        <w:t>submissions were received</w:t>
      </w:r>
      <w:r w:rsidRPr="004E17C2">
        <w:t xml:space="preserve"> of which </w:t>
      </w:r>
      <w:r w:rsidR="00DB27A1">
        <w:t>13</w:t>
      </w:r>
      <w:r w:rsidR="005861D8" w:rsidRPr="004E17C2">
        <w:t xml:space="preserve"> were</w:t>
      </w:r>
      <w:r w:rsidR="005861D8" w:rsidRPr="00756A52">
        <w:t xml:space="preserve"> opposed to the proposed draft variation to Schedule 26.</w:t>
      </w:r>
      <w:r w:rsidR="00BD2F6D" w:rsidRPr="00756A52">
        <w:t xml:space="preserve"> </w:t>
      </w:r>
      <w:r w:rsidR="00B36870">
        <w:t>Included in those opposed were four submitters,</w:t>
      </w:r>
      <w:r w:rsidR="00616540">
        <w:t xml:space="preserve"> </w:t>
      </w:r>
      <w:r w:rsidR="00B36870">
        <w:t>each of whom submitted the same</w:t>
      </w:r>
      <w:r w:rsidR="00540BD0">
        <w:t xml:space="preserve"> letter </w:t>
      </w:r>
      <w:r w:rsidR="0032409C">
        <w:t>(</w:t>
      </w:r>
      <w:r w:rsidR="00616540">
        <w:t xml:space="preserve">designated </w:t>
      </w:r>
      <w:r w:rsidR="0032409C">
        <w:t xml:space="preserve">as </w:t>
      </w:r>
      <w:r w:rsidR="0044510F">
        <w:t>‘</w:t>
      </w:r>
      <w:r w:rsidR="00540BD0">
        <w:t>Campaign</w:t>
      </w:r>
      <w:r w:rsidR="0044510F">
        <w:t>’</w:t>
      </w:r>
      <w:r w:rsidR="00540BD0">
        <w:t xml:space="preserve"> in Table 1 below</w:t>
      </w:r>
      <w:r w:rsidR="0032409C">
        <w:t>)</w:t>
      </w:r>
      <w:r w:rsidR="00DB27A1">
        <w:t>. Also included in the 15 submissions was</w:t>
      </w:r>
      <w:r w:rsidR="00AE6518">
        <w:t xml:space="preserve"> </w:t>
      </w:r>
      <w:r w:rsidR="0032409C">
        <w:t xml:space="preserve">an on-line petition generated by an </w:t>
      </w:r>
      <w:r w:rsidR="00573029">
        <w:t>individual on</w:t>
      </w:r>
      <w:r w:rsidR="0032409C">
        <w:t xml:space="preserve"> </w:t>
      </w:r>
      <w:hyperlink r:id="rId17" w:history="1">
        <w:r w:rsidR="0032409C" w:rsidRPr="00EA0550">
          <w:rPr>
            <w:rStyle w:val="Hyperlink"/>
          </w:rPr>
          <w:t>change.org</w:t>
        </w:r>
      </w:hyperlink>
      <w:r w:rsidR="0038635B">
        <w:rPr>
          <w:rStyle w:val="FootnoteReference"/>
          <w:color w:val="3333FF"/>
          <w:u w:val="single"/>
        </w:rPr>
        <w:footnoteReference w:id="3"/>
      </w:r>
      <w:r w:rsidR="0032409C">
        <w:t xml:space="preserve"> with 331 signatories</w:t>
      </w:r>
      <w:r w:rsidR="000D1122">
        <w:t xml:space="preserve"> asking FSANZ not to approve the </w:t>
      </w:r>
      <w:r w:rsidR="0032409C">
        <w:t>A</w:t>
      </w:r>
      <w:r w:rsidR="000D1122">
        <w:t xml:space="preserve">pplication. The </w:t>
      </w:r>
      <w:r w:rsidR="0032409C">
        <w:t xml:space="preserve">wording of the </w:t>
      </w:r>
      <w:r w:rsidR="000D1122">
        <w:t xml:space="preserve">petition did not </w:t>
      </w:r>
      <w:r w:rsidR="0032409C">
        <w:t xml:space="preserve">outline </w:t>
      </w:r>
      <w:r w:rsidR="000D1122">
        <w:t>any specific issues.</w:t>
      </w:r>
    </w:p>
    <w:p w14:paraId="30330141" w14:textId="77777777" w:rsidR="00616540" w:rsidRDefault="00616540" w:rsidP="00BD2F6D"/>
    <w:p w14:paraId="0D4C9762" w14:textId="7F595AF4" w:rsidR="00C90A17" w:rsidRPr="00C90A17" w:rsidRDefault="00C90A17" w:rsidP="00BD2F6D">
      <w:pPr>
        <w:rPr>
          <w:rFonts w:cs="Arial"/>
          <w:color w:val="000000" w:themeColor="text1"/>
          <w:szCs w:val="22"/>
        </w:rPr>
      </w:pPr>
      <w:r>
        <w:t>Several submitte</w:t>
      </w:r>
      <w:r w:rsidR="00671B0E">
        <w:t>rs were concerned that</w:t>
      </w:r>
      <w:r>
        <w:t xml:space="preserve"> E12 could be grown in Australia or New Zealand. As stated in </w:t>
      </w:r>
      <w:r w:rsidR="000956D3">
        <w:t>s</w:t>
      </w:r>
      <w:r w:rsidRPr="002525E6">
        <w:t>ection 2.5.1.4 of</w:t>
      </w:r>
      <w:r>
        <w:t xml:space="preserve"> this </w:t>
      </w:r>
      <w:r w:rsidR="0032409C">
        <w:t>R</w:t>
      </w:r>
      <w:r>
        <w:t>eport</w:t>
      </w:r>
      <w:r w:rsidRPr="00C90A17">
        <w:rPr>
          <w:color w:val="000000" w:themeColor="text1"/>
        </w:rPr>
        <w:t xml:space="preserve">, </w:t>
      </w:r>
      <w:r w:rsidR="00845853">
        <w:rPr>
          <w:rFonts w:cs="Arial"/>
          <w:color w:val="000000" w:themeColor="text1"/>
          <w:szCs w:val="22"/>
        </w:rPr>
        <w:t>i</w:t>
      </w:r>
      <w:r w:rsidRPr="00C90A17">
        <w:rPr>
          <w:rFonts w:cs="Arial"/>
          <w:color w:val="000000" w:themeColor="text1"/>
          <w:szCs w:val="22"/>
        </w:rPr>
        <w:t>f E12 potatoes were to be grown in Australia</w:t>
      </w:r>
      <w:r w:rsidR="000754F8">
        <w:rPr>
          <w:rFonts w:cs="Arial"/>
          <w:color w:val="000000" w:themeColor="text1"/>
          <w:szCs w:val="22"/>
        </w:rPr>
        <w:t>/New Zealand</w:t>
      </w:r>
      <w:r w:rsidRPr="00C90A17">
        <w:rPr>
          <w:rFonts w:cs="Arial"/>
          <w:color w:val="000000" w:themeColor="text1"/>
          <w:szCs w:val="22"/>
        </w:rPr>
        <w:t xml:space="preserve"> or viable E12 potatoes (i.e. those with eyes that can sprout) were to be imported into Australia</w:t>
      </w:r>
      <w:r w:rsidR="007C31FF">
        <w:rPr>
          <w:rFonts w:cs="Arial"/>
          <w:color w:val="000000" w:themeColor="text1"/>
          <w:szCs w:val="22"/>
        </w:rPr>
        <w:t xml:space="preserve"> or </w:t>
      </w:r>
      <w:r w:rsidR="000754F8">
        <w:rPr>
          <w:rFonts w:cs="Arial"/>
          <w:color w:val="000000" w:themeColor="text1"/>
          <w:szCs w:val="22"/>
        </w:rPr>
        <w:t>New Zealand</w:t>
      </w:r>
      <w:r w:rsidRPr="00C90A17">
        <w:rPr>
          <w:rFonts w:cs="Arial"/>
          <w:color w:val="000000" w:themeColor="text1"/>
          <w:szCs w:val="22"/>
        </w:rPr>
        <w:t xml:space="preserve"> they would require a licence</w:t>
      </w:r>
      <w:r w:rsidR="000754F8">
        <w:rPr>
          <w:rFonts w:cs="Arial"/>
          <w:color w:val="000000" w:themeColor="text1"/>
          <w:szCs w:val="22"/>
        </w:rPr>
        <w:t>/approval</w:t>
      </w:r>
      <w:r w:rsidRPr="00C90A17">
        <w:rPr>
          <w:rFonts w:cs="Arial"/>
          <w:color w:val="000000" w:themeColor="text1"/>
          <w:szCs w:val="22"/>
        </w:rPr>
        <w:t xml:space="preserve"> from the</w:t>
      </w:r>
      <w:r w:rsidR="007C31FF">
        <w:rPr>
          <w:rFonts w:cs="Arial"/>
          <w:color w:val="000000" w:themeColor="text1"/>
          <w:szCs w:val="22"/>
        </w:rPr>
        <w:t xml:space="preserve"> Australian Government’s</w:t>
      </w:r>
      <w:r w:rsidRPr="00C90A17">
        <w:rPr>
          <w:rFonts w:cs="Arial"/>
          <w:color w:val="000000" w:themeColor="text1"/>
          <w:szCs w:val="22"/>
        </w:rPr>
        <w:t xml:space="preserve"> </w:t>
      </w:r>
      <w:hyperlink r:id="rId18" w:history="1">
        <w:r w:rsidR="007C31FF">
          <w:rPr>
            <w:rStyle w:val="Hyperlink"/>
            <w:rFonts w:cs="Arial"/>
            <w:szCs w:val="22"/>
          </w:rPr>
          <w:t>Office of the Gene Technology Regulator</w:t>
        </w:r>
      </w:hyperlink>
      <w:r w:rsidR="00994159">
        <w:rPr>
          <w:rStyle w:val="FootnoteReference"/>
          <w:rFonts w:cs="Arial"/>
          <w:color w:val="3333FF"/>
          <w:szCs w:val="22"/>
          <w:u w:val="single"/>
        </w:rPr>
        <w:footnoteReference w:id="4"/>
      </w:r>
      <w:r w:rsidRPr="00C90A17">
        <w:rPr>
          <w:rFonts w:cs="Arial"/>
          <w:color w:val="000000" w:themeColor="text1"/>
          <w:szCs w:val="22"/>
        </w:rPr>
        <w:t xml:space="preserve"> (OGTR</w:t>
      </w:r>
      <w:r w:rsidR="00EA0550">
        <w:rPr>
          <w:rFonts w:cs="Arial"/>
          <w:color w:val="000000" w:themeColor="text1"/>
          <w:szCs w:val="22"/>
        </w:rPr>
        <w:t>)</w:t>
      </w:r>
      <w:r w:rsidR="000754F8">
        <w:rPr>
          <w:rFonts w:cs="Arial"/>
          <w:color w:val="000000" w:themeColor="text1"/>
          <w:szCs w:val="22"/>
        </w:rPr>
        <w:t xml:space="preserve"> or the</w:t>
      </w:r>
      <w:r w:rsidR="007C31FF">
        <w:rPr>
          <w:rFonts w:cs="Arial"/>
          <w:color w:val="000000" w:themeColor="text1"/>
          <w:szCs w:val="22"/>
        </w:rPr>
        <w:t xml:space="preserve"> New Zealand Government’s</w:t>
      </w:r>
      <w:r w:rsidR="000754F8">
        <w:rPr>
          <w:rFonts w:cs="Arial"/>
          <w:color w:val="000000" w:themeColor="text1"/>
          <w:szCs w:val="22"/>
        </w:rPr>
        <w:t xml:space="preserve"> </w:t>
      </w:r>
      <w:hyperlink r:id="rId19" w:history="1">
        <w:r w:rsidR="007C31FF">
          <w:rPr>
            <w:rStyle w:val="Hyperlink"/>
            <w:rFonts w:cs="Arial"/>
            <w:szCs w:val="22"/>
          </w:rPr>
          <w:t>Environmental Protection Authority</w:t>
        </w:r>
      </w:hyperlink>
      <w:r w:rsidR="00994159">
        <w:rPr>
          <w:rStyle w:val="FootnoteReference"/>
          <w:rFonts w:cs="Arial"/>
          <w:color w:val="3333FF"/>
          <w:szCs w:val="22"/>
          <w:u w:val="single"/>
        </w:rPr>
        <w:footnoteReference w:id="5"/>
      </w:r>
      <w:r w:rsidR="000754F8">
        <w:rPr>
          <w:rFonts w:cs="Arial"/>
          <w:color w:val="000000" w:themeColor="text1"/>
          <w:szCs w:val="22"/>
        </w:rPr>
        <w:t xml:space="preserve"> (NZ EPA</w:t>
      </w:r>
      <w:r w:rsidR="00EA0550">
        <w:rPr>
          <w:rFonts w:cs="Arial"/>
          <w:color w:val="000000" w:themeColor="text1"/>
          <w:szCs w:val="22"/>
        </w:rPr>
        <w:t>)</w:t>
      </w:r>
      <w:r w:rsidR="003C1183">
        <w:rPr>
          <w:rFonts w:cs="Arial"/>
          <w:color w:val="000000" w:themeColor="text1"/>
          <w:szCs w:val="22"/>
        </w:rPr>
        <w:t>.</w:t>
      </w:r>
      <w:r w:rsidR="000754F8">
        <w:rPr>
          <w:rFonts w:cs="Arial"/>
          <w:color w:val="000000" w:themeColor="text1"/>
          <w:szCs w:val="22"/>
        </w:rPr>
        <w:t xml:space="preserve"> To date</w:t>
      </w:r>
      <w:r w:rsidR="003C1183">
        <w:rPr>
          <w:rFonts w:cs="Arial"/>
          <w:color w:val="000000" w:themeColor="text1"/>
          <w:szCs w:val="22"/>
        </w:rPr>
        <w:t>,</w:t>
      </w:r>
      <w:r w:rsidR="000754F8">
        <w:rPr>
          <w:rFonts w:cs="Arial"/>
          <w:color w:val="000000" w:themeColor="text1"/>
          <w:szCs w:val="22"/>
        </w:rPr>
        <w:t xml:space="preserve"> neither the</w:t>
      </w:r>
      <w:r w:rsidRPr="00C90A17">
        <w:rPr>
          <w:rFonts w:cs="Arial"/>
          <w:color w:val="000000" w:themeColor="text1"/>
          <w:szCs w:val="22"/>
        </w:rPr>
        <w:t xml:space="preserve"> OGTR </w:t>
      </w:r>
      <w:r w:rsidR="000754F8">
        <w:rPr>
          <w:rFonts w:cs="Arial"/>
          <w:color w:val="000000" w:themeColor="text1"/>
          <w:szCs w:val="22"/>
        </w:rPr>
        <w:t>nor the NZ EPA has</w:t>
      </w:r>
      <w:r w:rsidRPr="00C90A17">
        <w:rPr>
          <w:rFonts w:cs="Arial"/>
          <w:color w:val="000000" w:themeColor="text1"/>
          <w:szCs w:val="22"/>
        </w:rPr>
        <w:t xml:space="preserve"> received an application for E12 to be either commercially grown in Australia</w:t>
      </w:r>
      <w:r w:rsidR="000754F8">
        <w:rPr>
          <w:rFonts w:cs="Arial"/>
          <w:color w:val="000000" w:themeColor="text1"/>
          <w:szCs w:val="22"/>
        </w:rPr>
        <w:t>/New Zealand</w:t>
      </w:r>
      <w:r w:rsidRPr="00C90A17">
        <w:rPr>
          <w:rFonts w:cs="Arial"/>
          <w:color w:val="000000" w:themeColor="text1"/>
          <w:szCs w:val="22"/>
        </w:rPr>
        <w:t xml:space="preserve"> or imported into Australia</w:t>
      </w:r>
      <w:r w:rsidR="000754F8">
        <w:rPr>
          <w:rFonts w:cs="Arial"/>
          <w:color w:val="000000" w:themeColor="text1"/>
          <w:szCs w:val="22"/>
        </w:rPr>
        <w:t>/New Zealand</w:t>
      </w:r>
      <w:r w:rsidRPr="00C90A17">
        <w:rPr>
          <w:rFonts w:cs="Arial"/>
          <w:color w:val="000000" w:themeColor="text1"/>
          <w:szCs w:val="22"/>
        </w:rPr>
        <w:t xml:space="preserve"> as a viable commodity. As s</w:t>
      </w:r>
      <w:r>
        <w:rPr>
          <w:rFonts w:cs="Arial"/>
          <w:color w:val="000000" w:themeColor="text1"/>
          <w:szCs w:val="22"/>
        </w:rPr>
        <w:t>h</w:t>
      </w:r>
      <w:r w:rsidRPr="00C90A17">
        <w:rPr>
          <w:rFonts w:cs="Arial"/>
          <w:color w:val="000000" w:themeColor="text1"/>
          <w:szCs w:val="22"/>
        </w:rPr>
        <w:t xml:space="preserve">own in Table 2, the USA and Canada are currently </w:t>
      </w:r>
      <w:r w:rsidRPr="002525E6">
        <w:rPr>
          <w:rFonts w:cs="Arial"/>
          <w:color w:val="000000" w:themeColor="text1"/>
          <w:szCs w:val="22"/>
        </w:rPr>
        <w:t>the only countries</w:t>
      </w:r>
      <w:r w:rsidRPr="00C90A17">
        <w:rPr>
          <w:rFonts w:cs="Arial"/>
          <w:color w:val="000000" w:themeColor="text1"/>
          <w:szCs w:val="22"/>
        </w:rPr>
        <w:t xml:space="preserve"> to approve the cultivation of E12.</w:t>
      </w:r>
    </w:p>
    <w:p w14:paraId="290ABCAD" w14:textId="77777777" w:rsidR="00C90A17" w:rsidRPr="00C90A17" w:rsidRDefault="00C90A17" w:rsidP="00BD2F6D">
      <w:pPr>
        <w:rPr>
          <w:rFonts w:cs="Arial"/>
          <w:color w:val="000000" w:themeColor="text1"/>
          <w:szCs w:val="22"/>
        </w:rPr>
      </w:pPr>
    </w:p>
    <w:p w14:paraId="01482044" w14:textId="100F720D" w:rsidR="00540BD0" w:rsidRPr="00845853" w:rsidRDefault="00BD2F6D" w:rsidP="00927684">
      <w:r w:rsidRPr="00C90A17">
        <w:rPr>
          <w:color w:val="000000" w:themeColor="text1"/>
          <w:szCs w:val="22"/>
        </w:rPr>
        <w:t xml:space="preserve">Responses </w:t>
      </w:r>
      <w:r w:rsidR="000754F8">
        <w:rPr>
          <w:szCs w:val="22"/>
        </w:rPr>
        <w:t>to</w:t>
      </w:r>
      <w:r w:rsidR="00770DA3" w:rsidRPr="00756A52">
        <w:rPr>
          <w:szCs w:val="22"/>
        </w:rPr>
        <w:t xml:space="preserve"> </w:t>
      </w:r>
      <w:r w:rsidR="00FC694D">
        <w:rPr>
          <w:szCs w:val="22"/>
        </w:rPr>
        <w:t xml:space="preserve">general </w:t>
      </w:r>
      <w:r w:rsidR="003956DB">
        <w:rPr>
          <w:szCs w:val="22"/>
        </w:rPr>
        <w:t xml:space="preserve">safety </w:t>
      </w:r>
      <w:r w:rsidRPr="00756A52">
        <w:rPr>
          <w:szCs w:val="22"/>
        </w:rPr>
        <w:t xml:space="preserve">issues raised or implied in </w:t>
      </w:r>
      <w:r w:rsidR="00845853">
        <w:rPr>
          <w:szCs w:val="22"/>
        </w:rPr>
        <w:t>the</w:t>
      </w:r>
      <w:r w:rsidR="00DA58DB" w:rsidRPr="004E17C2">
        <w:rPr>
          <w:szCs w:val="22"/>
        </w:rPr>
        <w:t xml:space="preserve"> opposed</w:t>
      </w:r>
      <w:r w:rsidR="00DA58DB" w:rsidRPr="00756A52">
        <w:rPr>
          <w:szCs w:val="22"/>
        </w:rPr>
        <w:t xml:space="preserve"> </w:t>
      </w:r>
      <w:r w:rsidRPr="00756A52">
        <w:rPr>
          <w:szCs w:val="22"/>
        </w:rPr>
        <w:t xml:space="preserve">submissions, are provided in Table 1. </w:t>
      </w:r>
      <w:r w:rsidR="00FC694D">
        <w:rPr>
          <w:szCs w:val="22"/>
        </w:rPr>
        <w:t>Sp</w:t>
      </w:r>
      <w:r w:rsidR="000956D3">
        <w:rPr>
          <w:szCs w:val="22"/>
        </w:rPr>
        <w:t>ecific issues are addressed in s</w:t>
      </w:r>
      <w:r w:rsidR="00FC694D">
        <w:rPr>
          <w:szCs w:val="22"/>
        </w:rPr>
        <w:t xml:space="preserve">ection 2.1.2. </w:t>
      </w:r>
    </w:p>
    <w:p w14:paraId="7B7E9360" w14:textId="7F9F9163" w:rsidR="00845853" w:rsidRDefault="00845853">
      <w:pPr>
        <w:widowControl/>
        <w:rPr>
          <w:b/>
        </w:rPr>
      </w:pPr>
      <w:r>
        <w:rPr>
          <w:b/>
        </w:rPr>
        <w:br w:type="page"/>
      </w:r>
    </w:p>
    <w:p w14:paraId="70E99F4E" w14:textId="41FBFF51" w:rsidR="00BD2F6D" w:rsidRPr="00756A52" w:rsidRDefault="00440E04" w:rsidP="00927684">
      <w:r w:rsidRPr="00756A52">
        <w:rPr>
          <w:b/>
        </w:rPr>
        <w:lastRenderedPageBreak/>
        <w:t xml:space="preserve">Table 1: Summary of </w:t>
      </w:r>
      <w:r w:rsidR="00FC694D">
        <w:rPr>
          <w:b/>
        </w:rPr>
        <w:t xml:space="preserve">general </w:t>
      </w:r>
      <w:r w:rsidR="00BD2F6D" w:rsidRPr="00756A52">
        <w:rPr>
          <w:b/>
        </w:rPr>
        <w:t>issues raised in submissions</w:t>
      </w:r>
    </w:p>
    <w:p w14:paraId="4D91569E" w14:textId="77777777" w:rsidR="00BD2F6D" w:rsidRPr="00B853D2" w:rsidRDefault="00BD2F6D" w:rsidP="00BD2F6D"/>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48"/>
      </w:tblGrid>
      <w:tr w:rsidR="00836E02" w:rsidRPr="00A4758B" w14:paraId="272F17E8" w14:textId="77777777" w:rsidTr="00771228">
        <w:trPr>
          <w:cnfStyle w:val="100000000000" w:firstRow="1" w:lastRow="0" w:firstColumn="0" w:lastColumn="0" w:oddVBand="0" w:evenVBand="0" w:oddHBand="0" w:evenHBand="0" w:firstRowFirstColumn="0" w:firstRowLastColumn="0" w:lastRowFirstColumn="0" w:lastRowLastColumn="0"/>
          <w:cantSplit/>
          <w:trHeight w:val="346"/>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vAlign w:val="center"/>
          </w:tcPr>
          <w:p w14:paraId="04714BB9" w14:textId="0AF3ABD6" w:rsidR="00836E02" w:rsidRPr="00771228" w:rsidRDefault="00836E02" w:rsidP="00A03AFC">
            <w:pPr>
              <w:pStyle w:val="Table2"/>
              <w:rPr>
                <w:rFonts w:cs="Arial"/>
                <w:color w:val="000000" w:themeColor="text1"/>
                <w:sz w:val="22"/>
                <w:szCs w:val="22"/>
              </w:rPr>
            </w:pPr>
            <w:r w:rsidRPr="00771228">
              <w:rPr>
                <w:rFonts w:cs="Arial"/>
                <w:sz w:val="22"/>
                <w:szCs w:val="22"/>
              </w:rPr>
              <w:t>Issue</w:t>
            </w:r>
          </w:p>
        </w:tc>
        <w:tc>
          <w:tcPr>
            <w:tcW w:w="1985" w:type="dxa"/>
            <w:tcBorders>
              <w:top w:val="single" w:sz="4" w:space="0" w:color="auto"/>
              <w:left w:val="single" w:sz="4" w:space="0" w:color="auto"/>
              <w:bottom w:val="single" w:sz="4" w:space="0" w:color="auto"/>
              <w:right w:val="single" w:sz="4" w:space="0" w:color="auto"/>
            </w:tcBorders>
            <w:vAlign w:val="center"/>
          </w:tcPr>
          <w:p w14:paraId="0972AEAF" w14:textId="4113DC6D" w:rsidR="00836E02" w:rsidRPr="00771228" w:rsidRDefault="00836E02" w:rsidP="0098384C">
            <w:pPr>
              <w:pStyle w:val="ListParagraph"/>
              <w:numPr>
                <w:ilvl w:val="0"/>
                <w:numId w:val="11"/>
              </w:numPr>
              <w:ind w:left="318" w:hanging="284"/>
              <w:cnfStyle w:val="100000000000" w:firstRow="1" w:lastRow="0" w:firstColumn="0" w:lastColumn="0" w:oddVBand="0" w:evenVBand="0" w:oddHBand="0" w:evenHBand="0" w:firstRowFirstColumn="0" w:firstRowLastColumn="0" w:lastRowFirstColumn="0" w:lastRowLastColumn="0"/>
              <w:rPr>
                <w:color w:val="000000" w:themeColor="text1"/>
                <w:szCs w:val="22"/>
              </w:rPr>
            </w:pPr>
            <w:r w:rsidRPr="00771228">
              <w:rPr>
                <w:rFonts w:cs="Arial"/>
                <w:szCs w:val="22"/>
              </w:rPr>
              <w:t>Raised by</w:t>
            </w:r>
          </w:p>
        </w:tc>
        <w:tc>
          <w:tcPr>
            <w:tcW w:w="5448" w:type="dxa"/>
            <w:tcBorders>
              <w:top w:val="single" w:sz="4" w:space="0" w:color="auto"/>
              <w:left w:val="single" w:sz="4" w:space="0" w:color="auto"/>
              <w:bottom w:val="single" w:sz="4" w:space="0" w:color="auto"/>
              <w:right w:val="single" w:sz="4" w:space="0" w:color="auto"/>
            </w:tcBorders>
            <w:vAlign w:val="center"/>
          </w:tcPr>
          <w:p w14:paraId="0FA42514" w14:textId="31FC1777" w:rsidR="00836E02" w:rsidRPr="00771228" w:rsidRDefault="00836E02" w:rsidP="00C90A17">
            <w:pPr>
              <w:autoSpaceDE w:val="0"/>
              <w:autoSpaceDN w:val="0"/>
              <w:adjustRightInd w:val="0"/>
              <w:ind w:left="175" w:hanging="175"/>
              <w:cnfStyle w:val="100000000000" w:firstRow="1" w:lastRow="0" w:firstColumn="0" w:lastColumn="0" w:oddVBand="0" w:evenVBand="0" w:oddHBand="0" w:evenHBand="0" w:firstRowFirstColumn="0" w:firstRowLastColumn="0" w:lastRowFirstColumn="0" w:lastRowLastColumn="0"/>
              <w:rPr>
                <w:rFonts w:cs="Arial"/>
                <w:color w:val="000000" w:themeColor="text1"/>
                <w:szCs w:val="22"/>
              </w:rPr>
            </w:pPr>
            <w:r w:rsidRPr="00771228">
              <w:rPr>
                <w:rFonts w:cs="Arial"/>
                <w:szCs w:val="22"/>
              </w:rPr>
              <w:t>FSANZ response</w:t>
            </w:r>
          </w:p>
        </w:tc>
      </w:tr>
      <w:tr w:rsidR="00836E02" w:rsidRPr="00A4758B" w14:paraId="7A735403" w14:textId="77777777" w:rsidTr="007712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right w:val="single" w:sz="4" w:space="0" w:color="auto"/>
            </w:tcBorders>
          </w:tcPr>
          <w:p w14:paraId="06A22D8F" w14:textId="78D938ED" w:rsidR="00836E02" w:rsidRPr="009E44DC" w:rsidRDefault="00836E02" w:rsidP="00A03AFC">
            <w:pPr>
              <w:pStyle w:val="Table2"/>
              <w:rPr>
                <w:rFonts w:cs="Arial"/>
                <w:color w:val="000000" w:themeColor="text1"/>
                <w:szCs w:val="18"/>
              </w:rPr>
            </w:pPr>
            <w:r w:rsidRPr="009E44DC">
              <w:rPr>
                <w:rFonts w:cs="Arial"/>
                <w:color w:val="000000" w:themeColor="text1"/>
                <w:szCs w:val="18"/>
              </w:rPr>
              <w:t>Food from E12 must be labelled</w:t>
            </w:r>
            <w:r>
              <w:rPr>
                <w:rFonts w:cs="Arial"/>
                <w:color w:val="000000" w:themeColor="text1"/>
                <w:szCs w:val="18"/>
              </w:rPr>
              <w:t>. Most GM potatoes imported are likely to be sold in food service outlets and require no labelling</w:t>
            </w:r>
          </w:p>
        </w:tc>
        <w:tc>
          <w:tcPr>
            <w:tcW w:w="1985" w:type="dxa"/>
            <w:tcBorders>
              <w:top w:val="single" w:sz="4" w:space="0" w:color="auto"/>
              <w:left w:val="single" w:sz="4" w:space="0" w:color="auto"/>
              <w:right w:val="single" w:sz="4" w:space="0" w:color="auto"/>
            </w:tcBorders>
          </w:tcPr>
          <w:p w14:paraId="2FC3EEC2" w14:textId="77777777" w:rsidR="00836E02"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C90A17">
              <w:rPr>
                <w:color w:val="000000" w:themeColor="text1"/>
                <w:sz w:val="18"/>
                <w:szCs w:val="18"/>
              </w:rPr>
              <w:t>Merv Smith</w:t>
            </w:r>
          </w:p>
          <w:p w14:paraId="41453E35" w14:textId="77777777" w:rsidR="00836E02"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Campaign</w:t>
            </w:r>
          </w:p>
          <w:p w14:paraId="6AB9AC99" w14:textId="77777777" w:rsidR="00836E02"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FOODWatch</w:t>
            </w:r>
          </w:p>
          <w:p w14:paraId="16BA75EF" w14:textId="6161FB3F" w:rsidR="00836E02" w:rsidRPr="00C90A17"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40BD0">
              <w:rPr>
                <w:color w:val="000000" w:themeColor="text1"/>
                <w:sz w:val="18"/>
                <w:szCs w:val="18"/>
              </w:rPr>
              <w:t>GM</w:t>
            </w:r>
            <w:r>
              <w:rPr>
                <w:color w:val="000000" w:themeColor="text1"/>
                <w:sz w:val="18"/>
                <w:szCs w:val="18"/>
              </w:rPr>
              <w:t>-</w:t>
            </w:r>
            <w:r w:rsidRPr="00540BD0">
              <w:rPr>
                <w:color w:val="000000" w:themeColor="text1"/>
                <w:sz w:val="18"/>
                <w:szCs w:val="18"/>
              </w:rPr>
              <w:t>Free</w:t>
            </w:r>
            <w:r>
              <w:rPr>
                <w:color w:val="000000" w:themeColor="text1"/>
                <w:sz w:val="18"/>
                <w:szCs w:val="18"/>
              </w:rPr>
              <w:t xml:space="preserve"> </w:t>
            </w:r>
            <w:r w:rsidRPr="00540BD0">
              <w:rPr>
                <w:color w:val="000000" w:themeColor="text1"/>
                <w:sz w:val="18"/>
                <w:szCs w:val="18"/>
              </w:rPr>
              <w:t>A</w:t>
            </w:r>
            <w:r>
              <w:rPr>
                <w:color w:val="000000" w:themeColor="text1"/>
                <w:sz w:val="18"/>
                <w:szCs w:val="18"/>
              </w:rPr>
              <w:t>ustralia Alliance (GMFreeAA)</w:t>
            </w:r>
          </w:p>
        </w:tc>
        <w:tc>
          <w:tcPr>
            <w:tcW w:w="5448" w:type="dxa"/>
            <w:tcBorders>
              <w:top w:val="single" w:sz="4" w:space="0" w:color="auto"/>
              <w:left w:val="single" w:sz="4" w:space="0" w:color="auto"/>
            </w:tcBorders>
          </w:tcPr>
          <w:p w14:paraId="652DC01C" w14:textId="324F4A9E" w:rsidR="00836E02" w:rsidRDefault="00836E02" w:rsidP="00C90A17">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Pr>
                <w:rFonts w:cs="Arial"/>
                <w:color w:val="000000" w:themeColor="text1"/>
                <w:sz w:val="18"/>
                <w:szCs w:val="18"/>
              </w:rPr>
              <w:t xml:space="preserve">Food from E12 </w:t>
            </w:r>
            <w:r w:rsidRPr="00C90A17">
              <w:rPr>
                <w:rFonts w:cs="Arial"/>
                <w:color w:val="000000" w:themeColor="text1"/>
                <w:sz w:val="18"/>
                <w:szCs w:val="18"/>
              </w:rPr>
              <w:t>potato, if approved, would require the same labelling as any other approved GM food</w:t>
            </w:r>
            <w:r>
              <w:rPr>
                <w:rFonts w:cs="Arial"/>
                <w:color w:val="000000" w:themeColor="text1"/>
                <w:sz w:val="18"/>
                <w:szCs w:val="18"/>
              </w:rPr>
              <w:t xml:space="preserve"> (see section 2.3.1 of this report</w:t>
            </w:r>
            <w:r w:rsidR="00E06ACB">
              <w:rPr>
                <w:rFonts w:cs="Arial"/>
                <w:color w:val="000000" w:themeColor="text1"/>
                <w:sz w:val="18"/>
                <w:szCs w:val="18"/>
              </w:rPr>
              <w:t>)</w:t>
            </w:r>
            <w:r>
              <w:rPr>
                <w:rFonts w:cs="Arial"/>
                <w:color w:val="000000" w:themeColor="text1"/>
                <w:sz w:val="18"/>
                <w:szCs w:val="18"/>
              </w:rPr>
              <w:t xml:space="preserve">. </w:t>
            </w:r>
          </w:p>
          <w:p w14:paraId="570854D4" w14:textId="77777777" w:rsidR="00836E02" w:rsidRDefault="00836E02" w:rsidP="00C90A17">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0C976D6C" w14:textId="2B05734D" w:rsidR="00836E02" w:rsidRDefault="00836E02" w:rsidP="00C90A17">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Pr>
                <w:rFonts w:cs="Arial"/>
                <w:color w:val="000000" w:themeColor="text1"/>
                <w:sz w:val="18"/>
                <w:szCs w:val="18"/>
              </w:rPr>
              <w:t xml:space="preserve">FSANZ notes the aim of the application is to obtain food approval </w:t>
            </w:r>
            <w:r w:rsidRPr="00864F14">
              <w:rPr>
                <w:color w:val="000000" w:themeColor="text1"/>
                <w:sz w:val="18"/>
                <w:szCs w:val="18"/>
                <w:lang w:val="en-AU"/>
              </w:rPr>
              <w:t>for imported processed foods that may contain E12</w:t>
            </w:r>
            <w:r w:rsidR="00765421">
              <w:rPr>
                <w:rFonts w:cs="Arial"/>
                <w:color w:val="000000" w:themeColor="text1"/>
                <w:sz w:val="18"/>
                <w:szCs w:val="18"/>
              </w:rPr>
              <w:t>. I</w:t>
            </w:r>
            <w:r>
              <w:rPr>
                <w:rFonts w:cs="Arial"/>
                <w:color w:val="000000" w:themeColor="text1"/>
                <w:sz w:val="18"/>
                <w:szCs w:val="18"/>
              </w:rPr>
              <w:t>f approved, it does not preclude the importation of th</w:t>
            </w:r>
            <w:r w:rsidR="00765421">
              <w:rPr>
                <w:rFonts w:cs="Arial"/>
                <w:color w:val="000000" w:themeColor="text1"/>
                <w:sz w:val="18"/>
                <w:szCs w:val="18"/>
              </w:rPr>
              <w:t>is GM potato for</w:t>
            </w:r>
            <w:r>
              <w:rPr>
                <w:rFonts w:cs="Arial"/>
                <w:color w:val="000000" w:themeColor="text1"/>
                <w:sz w:val="18"/>
                <w:szCs w:val="18"/>
              </w:rPr>
              <w:t xml:space="preserve"> sale through food service outlets</w:t>
            </w:r>
            <w:r w:rsidR="00765421">
              <w:rPr>
                <w:rFonts w:cs="Arial"/>
                <w:color w:val="000000" w:themeColor="text1"/>
                <w:sz w:val="18"/>
                <w:szCs w:val="18"/>
              </w:rPr>
              <w:t>.</w:t>
            </w:r>
          </w:p>
          <w:p w14:paraId="75AB3270" w14:textId="77777777" w:rsidR="00836E02" w:rsidRDefault="00836E02" w:rsidP="005B70C3">
            <w:pPr>
              <w:pStyle w:val="Table2"/>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p>
          <w:p w14:paraId="0931A7A1" w14:textId="007884B7" w:rsidR="00836E02" w:rsidRPr="005B70C3" w:rsidRDefault="00836E02" w:rsidP="005B70C3">
            <w:pPr>
              <w:pStyle w:val="Table2"/>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szCs w:val="18"/>
              </w:rPr>
            </w:pPr>
            <w:r>
              <w:rPr>
                <w:rFonts w:cs="Arial"/>
                <w:color w:val="000000" w:themeColor="text1"/>
                <w:szCs w:val="18"/>
              </w:rPr>
              <w:t xml:space="preserve">The FSANZ website contains </w:t>
            </w:r>
            <w:hyperlink r:id="rId20" w:history="1">
              <w:r w:rsidRPr="00836E02">
                <w:rPr>
                  <w:rStyle w:val="Hyperlink"/>
                  <w:rFonts w:cs="Arial"/>
                  <w:szCs w:val="18"/>
                </w:rPr>
                <w:t>further information on the labelling of GM foods</w:t>
              </w:r>
            </w:hyperlink>
            <w:r w:rsidR="00994159">
              <w:rPr>
                <w:rStyle w:val="FootnoteReference"/>
                <w:rFonts w:cs="Arial"/>
                <w:color w:val="3333FF"/>
                <w:szCs w:val="18"/>
                <w:u w:val="single"/>
              </w:rPr>
              <w:footnoteReference w:id="6"/>
            </w:r>
            <w:r>
              <w:rPr>
                <w:rFonts w:cs="Arial"/>
                <w:color w:val="000000" w:themeColor="text1"/>
                <w:szCs w:val="18"/>
              </w:rPr>
              <w:t>.</w:t>
            </w:r>
          </w:p>
          <w:p w14:paraId="0A4B0108" w14:textId="284D714C" w:rsidR="00836E02" w:rsidRPr="00C90A17" w:rsidRDefault="00836E02" w:rsidP="00C90A17">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836E02" w:rsidRPr="00A4758B" w14:paraId="2735646E" w14:textId="77777777" w:rsidTr="007712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608E1697" w14:textId="64A7C066" w:rsidR="00836E02" w:rsidRPr="00540BD0" w:rsidRDefault="00836E02" w:rsidP="005B70C3">
            <w:pPr>
              <w:pStyle w:val="Table2"/>
              <w:rPr>
                <w:rFonts w:cs="Arial"/>
                <w:bCs/>
                <w:color w:val="000000" w:themeColor="text1"/>
                <w:szCs w:val="18"/>
              </w:rPr>
            </w:pPr>
            <w:r w:rsidRPr="00540BD0">
              <w:rPr>
                <w:rFonts w:cs="Arial"/>
                <w:bCs/>
                <w:color w:val="000000" w:themeColor="text1"/>
                <w:szCs w:val="18"/>
              </w:rPr>
              <w:t>Concern with the safety of all GM food and with the FSANZ approach to safety assessment</w:t>
            </w:r>
          </w:p>
        </w:tc>
        <w:tc>
          <w:tcPr>
            <w:tcW w:w="1985" w:type="dxa"/>
            <w:tcBorders>
              <w:left w:val="single" w:sz="4" w:space="0" w:color="auto"/>
              <w:right w:val="single" w:sz="4" w:space="0" w:color="auto"/>
            </w:tcBorders>
          </w:tcPr>
          <w:p w14:paraId="5F3D4D33" w14:textId="77777777" w:rsidR="00836E02" w:rsidRPr="00540BD0" w:rsidRDefault="00836E02"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540BD0">
              <w:rPr>
                <w:color w:val="000000" w:themeColor="text1"/>
                <w:sz w:val="18"/>
                <w:szCs w:val="18"/>
              </w:rPr>
              <w:t>Annie Davies</w:t>
            </w:r>
          </w:p>
          <w:p w14:paraId="2142C4A9" w14:textId="77777777" w:rsidR="00836E02" w:rsidRPr="00540BD0" w:rsidRDefault="00836E02"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540BD0">
              <w:rPr>
                <w:color w:val="000000" w:themeColor="text1"/>
                <w:sz w:val="18"/>
                <w:szCs w:val="18"/>
              </w:rPr>
              <w:t>Merv Smith</w:t>
            </w:r>
          </w:p>
          <w:p w14:paraId="030DB13D" w14:textId="7C635355" w:rsidR="00836E02" w:rsidRPr="00540BD0" w:rsidRDefault="00836E02" w:rsidP="0098384C">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Pr>
                <w:color w:val="000000" w:themeColor="text1"/>
                <w:sz w:val="18"/>
                <w:szCs w:val="18"/>
              </w:rPr>
              <w:t>Campaign</w:t>
            </w:r>
          </w:p>
          <w:p w14:paraId="4605959E" w14:textId="26B6B571" w:rsidR="00836E02" w:rsidRPr="00540BD0" w:rsidRDefault="00836E02" w:rsidP="009137B0">
            <w:pPr>
              <w:pStyle w:val="ListParagraph"/>
              <w:numPr>
                <w:ilvl w:val="0"/>
                <w:numId w:val="11"/>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Pr>
                <w:color w:val="000000" w:themeColor="text1"/>
                <w:sz w:val="18"/>
                <w:szCs w:val="18"/>
              </w:rPr>
              <w:t>GMFreeAA</w:t>
            </w:r>
          </w:p>
        </w:tc>
        <w:tc>
          <w:tcPr>
            <w:tcW w:w="5448" w:type="dxa"/>
            <w:tcBorders>
              <w:left w:val="single" w:sz="4" w:space="0" w:color="auto"/>
            </w:tcBorders>
          </w:tcPr>
          <w:p w14:paraId="6DBE7152" w14:textId="1DA9D8D4" w:rsidR="00836E02" w:rsidRPr="00540BD0" w:rsidRDefault="00836E02" w:rsidP="00992138">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540BD0">
              <w:rPr>
                <w:rFonts w:cs="Arial"/>
                <w:color w:val="000000" w:themeColor="text1"/>
                <w:sz w:val="18"/>
                <w:szCs w:val="18"/>
              </w:rPr>
              <w:t xml:space="preserve">The approach used by FSANZ to assess the safety of GM food is based on core principles developed almost 20 years ago and published as guidelines by the Codex Alimentarius </w:t>
            </w:r>
            <w:r w:rsidRPr="005A4B08">
              <w:rPr>
                <w:rFonts w:cs="Arial"/>
                <w:color w:val="000000" w:themeColor="text1"/>
                <w:sz w:val="18"/>
                <w:szCs w:val="18"/>
              </w:rPr>
              <w:t xml:space="preserve">Commission </w:t>
            </w:r>
            <w:r w:rsidRPr="005A4B08">
              <w:rPr>
                <w:color w:val="000000" w:themeColor="text1"/>
                <w:sz w:val="18"/>
                <w:szCs w:val="18"/>
              </w:rPr>
              <w:fldChar w:fldCharType="begin"/>
            </w:r>
            <w:r w:rsidR="00A258B8">
              <w:rPr>
                <w:color w:val="000000" w:themeColor="text1"/>
                <w:sz w:val="18"/>
                <w:szCs w:val="18"/>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edition&lt;/Title_Primary&gt;&lt;Authors_Primary&gt;Codex&lt;/Authors_Primary&gt;&lt;Date_Primary&gt;2009&lt;/Date_Primary&gt;&lt;Keywords&gt;Biotechnology&lt;/Keywords&gt;&lt;Keywords&gt;regulation&lt;/Keywords&gt;&lt;Reprint&gt;Not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5A4B08">
              <w:rPr>
                <w:color w:val="000000" w:themeColor="text1"/>
                <w:sz w:val="18"/>
                <w:szCs w:val="18"/>
              </w:rPr>
              <w:fldChar w:fldCharType="separate"/>
            </w:r>
            <w:r w:rsidRPr="005A4B08">
              <w:rPr>
                <w:noProof/>
                <w:color w:val="000000" w:themeColor="text1"/>
                <w:sz w:val="18"/>
                <w:szCs w:val="18"/>
              </w:rPr>
              <w:t>(Codex 2009)</w:t>
            </w:r>
            <w:r w:rsidRPr="005A4B08">
              <w:rPr>
                <w:color w:val="000000" w:themeColor="text1"/>
                <w:sz w:val="18"/>
                <w:szCs w:val="18"/>
              </w:rPr>
              <w:fldChar w:fldCharType="end"/>
            </w:r>
            <w:r w:rsidRPr="005A4B08">
              <w:rPr>
                <w:rFonts w:cs="Arial"/>
                <w:color w:val="000000" w:themeColor="text1"/>
                <w:sz w:val="18"/>
                <w:szCs w:val="18"/>
              </w:rPr>
              <w:t>. Over time, the assessment protocol has been the subject</w:t>
            </w:r>
            <w:r w:rsidRPr="00540BD0">
              <w:rPr>
                <w:rFonts w:cs="Arial"/>
                <w:color w:val="000000" w:themeColor="text1"/>
                <w:sz w:val="18"/>
                <w:szCs w:val="18"/>
              </w:rPr>
              <w:t xml:space="preserve"> of scientific scrutiny but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3E0E5A97" w14:textId="77777777" w:rsidR="00836E02" w:rsidRPr="00540BD0" w:rsidRDefault="00836E02" w:rsidP="00992138">
            <w:pPr>
              <w:ind w:left="360"/>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lang w:bidi="ar-SA"/>
              </w:rPr>
            </w:pPr>
          </w:p>
          <w:p w14:paraId="2E36F18D" w14:textId="77777777" w:rsidR="00836E02" w:rsidRDefault="00836E02" w:rsidP="00992434">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540BD0">
              <w:rPr>
                <w:rFonts w:cs="Arial"/>
                <w:color w:val="000000" w:themeColor="text1"/>
                <w:sz w:val="18"/>
                <w:szCs w:val="18"/>
              </w:rPr>
              <w:t>It is the responsibility of companies that have developed GM foods to demonstrate the safety of that food and to supply FSANZ with the raw data from scientific studies to prove this. The data must be obtained using sound scientific methods and be collected according to strict quality control criteria. This procedure is no different to that used for new chemicals and drugs as well as for any substances such as food additives, processing aids and nutritive substances (whether they are GM or not) that may be added to foods. This is standard practice for all regulatory agencies around the world. FSANZ experts review the scientific information and form their own conclusions from the results of the studies. FSANZ can, and does, request companies to undertake additional studies, where necessary. In addition, FSANZ complements the company data with information from the scientific literature, other applications and other government agencies.</w:t>
            </w:r>
          </w:p>
          <w:p w14:paraId="5F49A46A" w14:textId="25345E18" w:rsidR="00836E02" w:rsidRPr="00540BD0" w:rsidRDefault="00836E02" w:rsidP="00992434">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tc>
      </w:tr>
      <w:tr w:rsidR="00836E02" w:rsidRPr="00A4758B" w14:paraId="0082AF89" w14:textId="77777777" w:rsidTr="007712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7BB200B5" w14:textId="7CF22A3B" w:rsidR="00836E02" w:rsidRPr="000807DB" w:rsidRDefault="00836E02" w:rsidP="008F2F92">
            <w:pPr>
              <w:pStyle w:val="Table2"/>
              <w:rPr>
                <w:rFonts w:cs="Arial"/>
                <w:color w:val="000000" w:themeColor="text1"/>
                <w:szCs w:val="18"/>
              </w:rPr>
            </w:pPr>
            <w:r w:rsidRPr="000807DB">
              <w:rPr>
                <w:rFonts w:cs="Arial"/>
                <w:bCs/>
                <w:color w:val="000000" w:themeColor="text1"/>
                <w:szCs w:val="18"/>
              </w:rPr>
              <w:lastRenderedPageBreak/>
              <w:t>Feeding trials done by others indicate there are concerns to human health of using RNAi. FSANZ claims there is no need for feeding trials</w:t>
            </w:r>
            <w:r w:rsidRPr="000807DB">
              <w:rPr>
                <w:rFonts w:cs="Arial"/>
                <w:color w:val="000000" w:themeColor="text1"/>
                <w:szCs w:val="18"/>
              </w:rPr>
              <w:t xml:space="preserve"> </w:t>
            </w:r>
          </w:p>
        </w:tc>
        <w:tc>
          <w:tcPr>
            <w:tcW w:w="1985" w:type="dxa"/>
            <w:tcBorders>
              <w:left w:val="single" w:sz="4" w:space="0" w:color="auto"/>
              <w:right w:val="single" w:sz="4" w:space="0" w:color="auto"/>
            </w:tcBorders>
          </w:tcPr>
          <w:p w14:paraId="31607594" w14:textId="77777777" w:rsidR="00836E02"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0807DB">
              <w:rPr>
                <w:color w:val="000000" w:themeColor="text1"/>
                <w:sz w:val="18"/>
                <w:szCs w:val="18"/>
              </w:rPr>
              <w:t>GMFreeAA</w:t>
            </w:r>
          </w:p>
          <w:p w14:paraId="76D228C2" w14:textId="47632312" w:rsidR="00836E02" w:rsidRPr="000807DB" w:rsidRDefault="00836E02" w:rsidP="0098384C">
            <w:pPr>
              <w:pStyle w:val="ListParagraph"/>
              <w:numPr>
                <w:ilvl w:val="0"/>
                <w:numId w:val="11"/>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FOODWatch</w:t>
            </w:r>
          </w:p>
        </w:tc>
        <w:tc>
          <w:tcPr>
            <w:tcW w:w="5448" w:type="dxa"/>
            <w:tcBorders>
              <w:left w:val="single" w:sz="4" w:space="0" w:color="auto"/>
            </w:tcBorders>
          </w:tcPr>
          <w:p w14:paraId="0EC2CE41" w14:textId="659AE773" w:rsidR="00836E02" w:rsidRPr="000807DB" w:rsidRDefault="00836E02" w:rsidP="00771228">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szCs w:val="18"/>
              </w:rPr>
            </w:pPr>
            <w:r w:rsidRPr="000807DB">
              <w:rPr>
                <w:rFonts w:cs="Arial"/>
                <w:bCs w:val="0"/>
                <w:color w:val="000000" w:themeColor="text1"/>
                <w:szCs w:val="18"/>
              </w:rPr>
              <w:t>As indicated above, the approach used by FSANZ to assess the safety of GM foods is based on robust principles and guidelines that are accepted internationally and have withstood sc</w:t>
            </w:r>
            <w:r w:rsidR="00771228">
              <w:rPr>
                <w:rFonts w:cs="Arial"/>
                <w:bCs w:val="0"/>
                <w:color w:val="000000" w:themeColor="text1"/>
                <w:szCs w:val="18"/>
              </w:rPr>
              <w:t xml:space="preserve">ientific scrutiny. </w:t>
            </w:r>
            <w:r w:rsidRPr="000807DB">
              <w:rPr>
                <w:rFonts w:cs="Arial"/>
                <w:bCs w:val="0"/>
                <w:color w:val="000000" w:themeColor="text1"/>
                <w:szCs w:val="18"/>
              </w:rPr>
              <w:t xml:space="preserve">There is general consensus among food regulators that the key focus in determining the safety of a GM food is the comparative compositional analysis. This concept was first considered and adopted in 1993 </w:t>
            </w:r>
            <w:r w:rsidRPr="000807DB">
              <w:rPr>
                <w:rFonts w:cs="Arial"/>
                <w:bCs w:val="0"/>
                <w:color w:val="000000" w:themeColor="text1"/>
                <w:szCs w:val="18"/>
              </w:rPr>
              <w:fldChar w:fldCharType="begin"/>
            </w:r>
            <w:r w:rsidR="00A258B8">
              <w:rPr>
                <w:rFonts w:cs="Arial"/>
                <w:bCs w:val="0"/>
                <w:color w:val="000000" w:themeColor="text1"/>
                <w:szCs w:val="18"/>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principles&lt;/Title_Primary&gt;&lt;Authors_Primary&gt;OECD&lt;/Authors_Primary&gt;&lt;Date_Primary&gt;1993&lt;/Date_Primary&gt;&lt;Keywords&gt;Biotechnology&lt;/Keywords&gt;&lt;Keywords&gt;regulation&lt;/Keywords&gt;&lt;Keywords&gt;Safety&lt;/Keywords&gt;&lt;Reprint&gt;In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0807DB">
              <w:rPr>
                <w:rFonts w:cs="Arial"/>
                <w:bCs w:val="0"/>
                <w:color w:val="000000" w:themeColor="text1"/>
                <w:szCs w:val="18"/>
              </w:rPr>
              <w:fldChar w:fldCharType="separate"/>
            </w:r>
            <w:r w:rsidRPr="000807DB">
              <w:rPr>
                <w:rFonts w:cs="Arial"/>
                <w:bCs w:val="0"/>
                <w:noProof/>
                <w:color w:val="000000" w:themeColor="text1"/>
                <w:szCs w:val="18"/>
              </w:rPr>
              <w:t>(OECD 1993)</w:t>
            </w:r>
            <w:r w:rsidRPr="000807DB">
              <w:rPr>
                <w:rFonts w:cs="Arial"/>
                <w:bCs w:val="0"/>
                <w:color w:val="000000" w:themeColor="text1"/>
                <w:szCs w:val="18"/>
              </w:rPr>
              <w:fldChar w:fldCharType="end"/>
            </w:r>
            <w:r w:rsidRPr="000807DB">
              <w:rPr>
                <w:rFonts w:cs="Arial"/>
                <w:bCs w:val="0"/>
                <w:color w:val="000000" w:themeColor="text1"/>
                <w:szCs w:val="18"/>
              </w:rPr>
              <w:t xml:space="preserve"> and there has not been any change to this approach </w:t>
            </w:r>
            <w:r w:rsidRPr="000807DB">
              <w:rPr>
                <w:rFonts w:cs="Arial"/>
                <w:bCs w:val="0"/>
                <w:color w:val="000000" w:themeColor="text1"/>
                <w:szCs w:val="18"/>
              </w:rPr>
              <w:fldChar w:fldCharType="begin"/>
            </w:r>
            <w:r w:rsidR="00A258B8">
              <w:rPr>
                <w:rFonts w:cs="Arial"/>
                <w:bCs w:val="0"/>
                <w:color w:val="000000" w:themeColor="text1"/>
                <w:szCs w:val="18"/>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composition&lt;/Keywords&gt;&lt;Keywords&gt;regulation&lt;/Keywords&gt;&lt;Keywords&gt;Safety&lt;/Keywords&gt;&lt;Keywords&gt;Safety assessment&lt;/Keywords&gt;&lt;Reprint&gt;In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0807DB">
              <w:rPr>
                <w:rFonts w:cs="Arial"/>
                <w:bCs w:val="0"/>
                <w:color w:val="000000" w:themeColor="text1"/>
                <w:szCs w:val="18"/>
              </w:rPr>
              <w:fldChar w:fldCharType="separate"/>
            </w:r>
            <w:r w:rsidRPr="000807DB">
              <w:rPr>
                <w:rFonts w:cs="Arial"/>
                <w:bCs w:val="0"/>
                <w:noProof/>
                <w:color w:val="000000" w:themeColor="text1"/>
                <w:szCs w:val="18"/>
              </w:rPr>
              <w:t>(Herman et al. 2009)</w:t>
            </w:r>
            <w:r w:rsidRPr="000807DB">
              <w:rPr>
                <w:rFonts w:cs="Arial"/>
                <w:bCs w:val="0"/>
                <w:color w:val="000000" w:themeColor="text1"/>
                <w:szCs w:val="18"/>
              </w:rPr>
              <w:fldChar w:fldCharType="end"/>
            </w:r>
            <w:r w:rsidRPr="000807DB">
              <w:rPr>
                <w:rFonts w:cs="Arial"/>
                <w:bCs w:val="0"/>
                <w:color w:val="000000" w:themeColor="text1"/>
                <w:szCs w:val="18"/>
              </w:rPr>
              <w:t xml:space="preserve">. </w:t>
            </w:r>
          </w:p>
          <w:p w14:paraId="626F45E3" w14:textId="77777777" w:rsidR="00836E02" w:rsidRPr="000807DB" w:rsidRDefault="00836E02" w:rsidP="00903EF0">
            <w:pPr>
              <w:pStyle w:val="Table2"/>
              <w:cnfStyle w:val="000000100000" w:firstRow="0" w:lastRow="0" w:firstColumn="0" w:lastColumn="0" w:oddVBand="0" w:evenVBand="0" w:oddHBand="1" w:evenHBand="0" w:firstRowFirstColumn="0" w:firstRowLastColumn="0" w:lastRowFirstColumn="0" w:lastRowLastColumn="0"/>
              <w:rPr>
                <w:rFonts w:cs="Arial"/>
                <w:bCs w:val="0"/>
                <w:color w:val="000000" w:themeColor="text1"/>
                <w:szCs w:val="18"/>
              </w:rPr>
            </w:pPr>
          </w:p>
          <w:p w14:paraId="66E7D0A9" w14:textId="4AC6C511" w:rsidR="00836E02" w:rsidRPr="000807DB" w:rsidRDefault="00836E02" w:rsidP="00B77424">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0807DB">
              <w:rPr>
                <w:rFonts w:cs="Arial"/>
                <w:color w:val="000000" w:themeColor="text1"/>
                <w:sz w:val="18"/>
                <w:szCs w:val="18"/>
              </w:rPr>
              <w:t xml:space="preserve">In 2007, FSANZ convened a </w:t>
            </w:r>
            <w:r w:rsidR="00771228">
              <w:rPr>
                <w:rFonts w:cs="Arial"/>
                <w:sz w:val="18"/>
                <w:szCs w:val="18"/>
              </w:rPr>
              <w:t xml:space="preserve">workshop </w:t>
            </w:r>
            <w:r w:rsidRPr="000807DB">
              <w:rPr>
                <w:rFonts w:cs="Arial"/>
                <w:color w:val="000000" w:themeColor="text1"/>
                <w:sz w:val="18"/>
                <w:szCs w:val="18"/>
              </w:rPr>
              <w:t xml:space="preserve">to formally examine the </w:t>
            </w:r>
            <w:hyperlink r:id="rId21" w:history="1">
              <w:r w:rsidRPr="00771228">
                <w:rPr>
                  <w:rStyle w:val="Hyperlink"/>
                  <w:rFonts w:cs="Arial"/>
                  <w:sz w:val="18"/>
                  <w:szCs w:val="18"/>
                </w:rPr>
                <w:t>usefulness of animal feeding studies</w:t>
              </w:r>
            </w:hyperlink>
            <w:r w:rsidR="00994159">
              <w:rPr>
                <w:rStyle w:val="FootnoteReference"/>
                <w:rFonts w:cs="Arial"/>
                <w:color w:val="3333FF"/>
                <w:sz w:val="18"/>
                <w:szCs w:val="18"/>
                <w:u w:val="single"/>
              </w:rPr>
              <w:footnoteReference w:id="7"/>
            </w:r>
            <w:r w:rsidRPr="000807DB">
              <w:rPr>
                <w:rFonts w:cs="Arial"/>
                <w:color w:val="000000" w:themeColor="text1"/>
                <w:sz w:val="18"/>
                <w:szCs w:val="18"/>
              </w:rPr>
              <w:t xml:space="preserve"> to support the safety asse</w:t>
            </w:r>
            <w:r>
              <w:rPr>
                <w:rFonts w:cs="Arial"/>
                <w:color w:val="000000" w:themeColor="text1"/>
                <w:sz w:val="18"/>
                <w:szCs w:val="18"/>
              </w:rPr>
              <w:t xml:space="preserve">ssment of GM foods. </w:t>
            </w:r>
            <w:r w:rsidRPr="000807DB">
              <w:rPr>
                <w:rFonts w:cs="Arial"/>
                <w:color w:val="000000" w:themeColor="text1"/>
                <w:sz w:val="18"/>
                <w:szCs w:val="18"/>
              </w:rPr>
              <w:t xml:space="preserve">The conclusion was that such studies do not contribute meaningful information on the long-term safety of a GM food, with the possible exception of a food in which the modification introduced a desired nutritional change. Therefore, for most GM foods, including those derived from E12,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0807DB">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A258B8">
              <w:rPr>
                <w:rFonts w:cs="Arial"/>
                <w:color w:val="000000" w:themeColor="text1"/>
                <w:sz w:val="18"/>
                <w:szCs w:val="18"/>
              </w:rPr>
              <w:instrText xml:space="preserve"> ADDIN REFMGR.CITE </w:instrText>
            </w:r>
            <w:r w:rsidR="00A258B8">
              <w:rPr>
                <w:rFonts w:cs="Arial"/>
                <w:color w:val="000000" w:themeColor="text1"/>
                <w:sz w:val="18"/>
                <w:szCs w:val="18"/>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eXdvcmRzPmFuYWx5c2lzPC9LZXl3b3Jkcz48S2V5d29yZHM+ZmVlZGluZyBzdHVkeTwvS2V5d29y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</w:fldData>
              </w:fldChar>
            </w:r>
            <w:r w:rsidR="00A258B8">
              <w:rPr>
                <w:rFonts w:cs="Arial"/>
                <w:color w:val="000000" w:themeColor="text1"/>
                <w:sz w:val="18"/>
                <w:szCs w:val="18"/>
              </w:rPr>
              <w:instrText xml:space="preserve"> ADDIN EN.CITE.DATA </w:instrText>
            </w:r>
            <w:r w:rsidR="00A258B8">
              <w:rPr>
                <w:rFonts w:cs="Arial"/>
                <w:color w:val="000000" w:themeColor="text1"/>
                <w:sz w:val="18"/>
                <w:szCs w:val="18"/>
              </w:rPr>
            </w:r>
            <w:r w:rsidR="00A258B8">
              <w:rPr>
                <w:rFonts w:cs="Arial"/>
                <w:color w:val="000000" w:themeColor="text1"/>
                <w:sz w:val="18"/>
                <w:szCs w:val="18"/>
              </w:rPr>
              <w:fldChar w:fldCharType="end"/>
            </w:r>
            <w:r w:rsidRPr="000807DB">
              <w:rPr>
                <w:rFonts w:cs="Arial"/>
                <w:color w:val="000000" w:themeColor="text1"/>
                <w:sz w:val="18"/>
                <w:szCs w:val="18"/>
              </w:rPr>
            </w:r>
            <w:r w:rsidRPr="000807DB">
              <w:rPr>
                <w:rFonts w:cs="Arial"/>
                <w:color w:val="000000" w:themeColor="text1"/>
                <w:sz w:val="18"/>
                <w:szCs w:val="18"/>
              </w:rPr>
              <w:fldChar w:fldCharType="separate"/>
            </w:r>
            <w:r w:rsidRPr="000807DB">
              <w:rPr>
                <w:rFonts w:cs="Arial"/>
                <w:noProof/>
                <w:color w:val="000000" w:themeColor="text1"/>
                <w:sz w:val="18"/>
                <w:szCs w:val="18"/>
              </w:rPr>
              <w:t>(Rigaud 2008; Bartholomaeus et al. 2013)</w:t>
            </w:r>
            <w:r w:rsidRPr="000807DB">
              <w:rPr>
                <w:rFonts w:cs="Arial"/>
                <w:color w:val="000000" w:themeColor="text1"/>
                <w:sz w:val="18"/>
                <w:szCs w:val="18"/>
              </w:rPr>
              <w:fldChar w:fldCharType="end"/>
            </w:r>
            <w:r w:rsidRPr="000807DB">
              <w:rPr>
                <w:rFonts w:cs="Arial"/>
                <w:color w:val="000000" w:themeColor="text1"/>
                <w:sz w:val="18"/>
                <w:szCs w:val="18"/>
              </w:rPr>
              <w:t>.</w:t>
            </w:r>
          </w:p>
          <w:p w14:paraId="0891DFD5" w14:textId="77777777" w:rsidR="00836E02" w:rsidRPr="000807DB" w:rsidRDefault="00836E02" w:rsidP="00B77424">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66F88A56" w14:textId="522F3A0F" w:rsidR="00836E02" w:rsidRPr="00994159" w:rsidRDefault="00994159" w:rsidP="00994159">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eastAsia="en-GB" w:bidi="ar-SA"/>
              </w:rPr>
            </w:pPr>
            <w:r w:rsidRPr="000807DB">
              <w:rPr>
                <w:rFonts w:cs="Arial"/>
                <w:color w:val="000000" w:themeColor="text1"/>
                <w:sz w:val="18"/>
                <w:szCs w:val="18"/>
                <w:lang w:eastAsia="en-GB" w:bidi="ar-SA"/>
              </w:rPr>
              <w:t>There is no evidence of harm to human health from ingested small RNAs and dsRNAs from either GM foods or non-GM foods.</w:t>
            </w:r>
            <w:r>
              <w:rPr>
                <w:rFonts w:cs="Arial"/>
                <w:color w:val="000000" w:themeColor="text1"/>
                <w:sz w:val="18"/>
                <w:szCs w:val="18"/>
                <w:lang w:eastAsia="en-GB" w:bidi="ar-SA"/>
              </w:rPr>
              <w:t xml:space="preserve"> </w:t>
            </w:r>
            <w:r w:rsidR="00836E02" w:rsidRPr="000807DB">
              <w:rPr>
                <w:rFonts w:cs="Arial"/>
                <w:color w:val="000000" w:themeColor="text1"/>
                <w:sz w:val="18"/>
                <w:szCs w:val="18"/>
                <w:lang w:val="en-US"/>
              </w:rPr>
              <w:t xml:space="preserve">The proposal that ingested small RNAs can exert biological effects in humans is both controversial and highly speculative and has been previously discussed by FSANZ </w:t>
            </w:r>
            <w:r w:rsidR="00836E02" w:rsidRPr="000807DB">
              <w:rPr>
                <w:color w:val="000000" w:themeColor="text1"/>
                <w:sz w:val="18"/>
                <w:szCs w:val="18"/>
                <w:lang w:val="en-US" w:bidi="ar-SA"/>
              </w:rPr>
              <w:fldChar w:fldCharType="begin"/>
            </w:r>
            <w:r w:rsidR="00A258B8">
              <w:rPr>
                <w:color w:val="000000" w:themeColor="text1"/>
                <w:sz w:val="18"/>
                <w:szCs w:val="18"/>
                <w:lang w:val="en-US" w:bidi="ar-SA"/>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silencing&lt;/Title_Primary&gt;&lt;Authors_Primary&gt;FSANZ&lt;/Authors_Primary&gt;&lt;Date_Primary&gt;2013&lt;/Date_Primary&gt;&lt;Keywords&gt;regulation&lt;/Keywords&gt;&lt;Keywords&gt;silencing&lt;/Keywords&gt;&lt;Reprint&gt;Not in File&lt;/Reprint&gt;&lt;Publisher&gt;Food Standards Australia New Zealand&lt;/Publisher&gt;&lt;Web_URL&gt;&lt;u&gt;http://www.foodstandards.gov.au/consumer/gmfood/Pages/Response-to-Heinemann-et-al-on-the-regulation-of-GM-crops-and-foods-developed-using-gene-silencing.aspx&lt;/u&gt;&lt;/Web_URL&gt;&lt;ZZ_WorkformID&gt;31&lt;/ZZ_WorkformID&gt;&lt;/MDL&gt;&lt;/Cite&gt;&lt;/Refman&gt;</w:instrText>
            </w:r>
            <w:r w:rsidR="00836E02" w:rsidRPr="000807DB">
              <w:rPr>
                <w:color w:val="000000" w:themeColor="text1"/>
                <w:sz w:val="18"/>
                <w:szCs w:val="18"/>
                <w:lang w:val="en-US" w:bidi="ar-SA"/>
              </w:rPr>
              <w:fldChar w:fldCharType="separate"/>
            </w:r>
            <w:r w:rsidR="00A258B8">
              <w:rPr>
                <w:noProof/>
                <w:color w:val="000000" w:themeColor="text1"/>
                <w:sz w:val="18"/>
                <w:szCs w:val="18"/>
                <w:lang w:val="en-US" w:bidi="ar-SA"/>
              </w:rPr>
              <w:t>(FSANZ 2013)</w:t>
            </w:r>
            <w:r w:rsidR="00836E02" w:rsidRPr="000807DB">
              <w:rPr>
                <w:color w:val="000000" w:themeColor="text1"/>
                <w:sz w:val="18"/>
                <w:szCs w:val="18"/>
                <w:lang w:val="en-US" w:bidi="ar-SA"/>
              </w:rPr>
              <w:fldChar w:fldCharType="end"/>
            </w:r>
            <w:r w:rsidR="00836E02" w:rsidRPr="000807DB">
              <w:rPr>
                <w:color w:val="000000" w:themeColor="text1"/>
                <w:sz w:val="18"/>
                <w:szCs w:val="18"/>
                <w:lang w:val="en-US" w:bidi="ar-SA"/>
              </w:rPr>
              <w:t>.</w:t>
            </w:r>
            <w:r w:rsidR="00836E02" w:rsidRPr="000807DB">
              <w:rPr>
                <w:rFonts w:cs="Arial"/>
                <w:color w:val="000000" w:themeColor="text1"/>
                <w:sz w:val="18"/>
                <w:szCs w:val="18"/>
                <w:lang w:val="en-US"/>
              </w:rPr>
              <w:t xml:space="preserve"> In relation to actual uptake, a number of conflicting pieces of evidence exist and it continues to remain an area of uncertainty. While the number of negative studies published so far suggests that uptake of ingested small RNAs </w:t>
            </w:r>
            <w:r w:rsidR="00615054">
              <w:rPr>
                <w:rFonts w:cs="Arial"/>
                <w:color w:val="000000" w:themeColor="text1"/>
                <w:sz w:val="18"/>
                <w:szCs w:val="18"/>
                <w:lang w:val="en-US"/>
              </w:rPr>
              <w:t>does not occur to any significant extent</w:t>
            </w:r>
            <w:r w:rsidR="00836E02" w:rsidRPr="000807DB">
              <w:rPr>
                <w:rFonts w:cs="Arial"/>
                <w:color w:val="000000" w:themeColor="text1"/>
                <w:sz w:val="18"/>
                <w:szCs w:val="18"/>
                <w:lang w:val="en-US"/>
              </w:rPr>
              <w:t xml:space="preserve"> in mammals including humans, it cannot be completely </w:t>
            </w:r>
            <w:r w:rsidR="00836E02">
              <w:rPr>
                <w:rFonts w:cs="Arial"/>
                <w:color w:val="000000" w:themeColor="text1"/>
                <w:sz w:val="18"/>
                <w:szCs w:val="18"/>
                <w:lang w:val="en-US"/>
              </w:rPr>
              <w:t>excluded</w:t>
            </w:r>
            <w:r w:rsidR="00836E02" w:rsidRPr="000807DB">
              <w:rPr>
                <w:rFonts w:cs="Arial"/>
                <w:color w:val="000000" w:themeColor="text1"/>
                <w:sz w:val="18"/>
                <w:szCs w:val="18"/>
                <w:lang w:val="en-US"/>
              </w:rPr>
              <w:t>. However, following uptake, there are numerous conditions that need to be met and biological barriers to be overcome before an exogenous small RNA could exert a biological effect, including a potentially adverse effect. The overwhelming evidence to date suggests this is unlikely and certainly no more likely for the small RNAs and dsRNAs produced in GM plants compared to the other small RNAs that are naturally abundant in the human diet.</w:t>
            </w:r>
          </w:p>
          <w:p w14:paraId="374EE80E" w14:textId="77777777" w:rsidR="00836E02" w:rsidRPr="000807DB" w:rsidRDefault="00836E02" w:rsidP="0099243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val="en-US"/>
              </w:rPr>
            </w:pPr>
          </w:p>
          <w:p w14:paraId="0690B8C2" w14:textId="728060D1" w:rsidR="00836E02" w:rsidRPr="000807DB" w:rsidRDefault="00836E02" w:rsidP="005B57C4">
            <w:pPr>
              <w:autoSpaceDE w:val="0"/>
              <w:autoSpaceDN w:val="0"/>
              <w:adjustRightInd w:val="0"/>
              <w:ind w:left="175" w:hanging="175"/>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val="en-US"/>
              </w:rPr>
            </w:pPr>
            <w:r w:rsidRPr="003C7CCB">
              <w:rPr>
                <w:rFonts w:cs="Arial"/>
                <w:color w:val="000000" w:themeColor="text1"/>
                <w:sz w:val="18"/>
                <w:szCs w:val="18"/>
                <w:lang w:val="en-US"/>
              </w:rPr>
              <w:t>The Nunes et al (2013)</w:t>
            </w:r>
            <w:r w:rsidRPr="003C7CCB">
              <w:rPr>
                <w:rStyle w:val="FootnoteReference"/>
                <w:rFonts w:cs="Arial"/>
                <w:color w:val="000000" w:themeColor="text1"/>
                <w:sz w:val="18"/>
                <w:szCs w:val="18"/>
                <w:lang w:val="en-US"/>
              </w:rPr>
              <w:footnoteReference w:id="8"/>
            </w:r>
            <w:r w:rsidRPr="003C7CCB">
              <w:rPr>
                <w:rFonts w:cs="Arial"/>
                <w:color w:val="000000" w:themeColor="text1"/>
                <w:sz w:val="18"/>
                <w:szCs w:val="18"/>
                <w:lang w:val="en-US"/>
              </w:rPr>
              <w:t xml:space="preserve"> paper cited by GMFreeAA has been </w:t>
            </w:r>
            <w:r w:rsidR="007B63E3">
              <w:rPr>
                <w:rFonts w:cs="Arial"/>
                <w:color w:val="000000" w:themeColor="text1"/>
                <w:sz w:val="18"/>
                <w:szCs w:val="18"/>
                <w:lang w:val="en-US"/>
              </w:rPr>
              <w:t>considered</w:t>
            </w:r>
            <w:r w:rsidR="007B63E3" w:rsidRPr="003C7CCB">
              <w:rPr>
                <w:rFonts w:cs="Arial"/>
                <w:color w:val="000000" w:themeColor="text1"/>
                <w:sz w:val="18"/>
                <w:szCs w:val="18"/>
                <w:lang w:val="en-US"/>
              </w:rPr>
              <w:t xml:space="preserve"> </w:t>
            </w:r>
            <w:r w:rsidRPr="003C7CCB">
              <w:rPr>
                <w:rFonts w:cs="Arial"/>
                <w:color w:val="000000" w:themeColor="text1"/>
                <w:sz w:val="18"/>
                <w:szCs w:val="18"/>
                <w:lang w:val="en-US"/>
              </w:rPr>
              <w:t xml:space="preserve">by FSANZ. While off-target effects have been observed in insects and other phyla including plants, </w:t>
            </w:r>
            <w:r>
              <w:rPr>
                <w:rFonts w:cs="Arial"/>
                <w:color w:val="000000" w:themeColor="text1"/>
                <w:sz w:val="18"/>
                <w:szCs w:val="18"/>
                <w:lang w:val="en-US"/>
              </w:rPr>
              <w:t xml:space="preserve">if these effects lead to adverse phenotypic outcomes </w:t>
            </w:r>
            <w:r w:rsidRPr="003C7CCB">
              <w:rPr>
                <w:rFonts w:cs="Arial"/>
                <w:color w:val="000000" w:themeColor="text1"/>
                <w:sz w:val="18"/>
                <w:szCs w:val="18"/>
                <w:lang w:val="en-US"/>
              </w:rPr>
              <w:t>the</w:t>
            </w:r>
            <w:r>
              <w:rPr>
                <w:rFonts w:cs="Arial"/>
                <w:color w:val="000000" w:themeColor="text1"/>
                <w:sz w:val="18"/>
                <w:szCs w:val="18"/>
                <w:lang w:val="en-US"/>
              </w:rPr>
              <w:t>y</w:t>
            </w:r>
            <w:r w:rsidRPr="003C7CCB">
              <w:rPr>
                <w:rFonts w:cs="Arial"/>
                <w:color w:val="000000" w:themeColor="text1"/>
                <w:sz w:val="18"/>
                <w:szCs w:val="18"/>
                <w:lang w:val="en-US"/>
              </w:rPr>
              <w:t xml:space="preserve"> would normally be identified early in product development. The fact that off-target effects may have occurred in an experiment undertaken in bees is of no relevance to the safety assessment of food derived from potato line E12. The extensive compositional analyses undertaken of line E12 indicate that apart from the intended changes, it is compositionally equivalent to conventional potato varieties in all other respects. The results presented in the Nunes et al paper do not alter the conclusion that ingestion of dsRNA from any source at levels normally found in food is safe in the human context. Nor do they justify a feeding trial in the case of E12.</w:t>
            </w:r>
          </w:p>
          <w:p w14:paraId="77728C70" w14:textId="01FC68CE" w:rsidR="00836E02" w:rsidRPr="005A4B08" w:rsidRDefault="00836E02" w:rsidP="00994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lang w:eastAsia="en-GB" w:bidi="ar-SA"/>
              </w:rPr>
            </w:pPr>
          </w:p>
        </w:tc>
      </w:tr>
    </w:tbl>
    <w:p w14:paraId="280976EE" w14:textId="1201971F" w:rsidR="00EC2872" w:rsidRDefault="00EC2872" w:rsidP="00EC2872">
      <w:pPr>
        <w:pStyle w:val="Heading3"/>
      </w:pPr>
      <w:bookmarkStart w:id="58" w:name="_Toc463450494"/>
      <w:r>
        <w:lastRenderedPageBreak/>
        <w:t>2.1.2</w:t>
      </w:r>
      <w:r>
        <w:tab/>
      </w:r>
      <w:r w:rsidR="00835CF8">
        <w:t>Specific i</w:t>
      </w:r>
      <w:r w:rsidRPr="00756A52">
        <w:t>ssues</w:t>
      </w:r>
      <w:r w:rsidR="00835CF8">
        <w:t xml:space="preserve"> raised</w:t>
      </w:r>
      <w:bookmarkEnd w:id="58"/>
    </w:p>
    <w:p w14:paraId="042EC9D5" w14:textId="387259BB" w:rsidR="00835CF8" w:rsidRDefault="004003CB" w:rsidP="004003CB">
      <w:pPr>
        <w:pStyle w:val="Heading4"/>
        <w:rPr>
          <w:lang w:eastAsia="en-AU"/>
        </w:rPr>
      </w:pPr>
      <w:r>
        <w:rPr>
          <w:lang w:eastAsia="en-AU"/>
        </w:rPr>
        <w:t>2.1.2.1</w:t>
      </w:r>
      <w:r>
        <w:rPr>
          <w:lang w:eastAsia="en-AU"/>
        </w:rPr>
        <w:tab/>
      </w:r>
      <w:r w:rsidR="00835CF8" w:rsidRPr="00835CF8">
        <w:rPr>
          <w:lang w:eastAsia="en-AU"/>
        </w:rPr>
        <w:t>Will the reduction in bruising of E12 mask deleterious effects in the quality of the potato that may adversely impact on safety</w:t>
      </w:r>
      <w:r w:rsidR="00F348BD">
        <w:rPr>
          <w:lang w:eastAsia="en-AU"/>
        </w:rPr>
        <w:t xml:space="preserve"> if the potato is consumed</w:t>
      </w:r>
      <w:r w:rsidR="00835CF8" w:rsidRPr="00835CF8">
        <w:rPr>
          <w:lang w:eastAsia="en-AU"/>
        </w:rPr>
        <w:t>?</w:t>
      </w:r>
    </w:p>
    <w:p w14:paraId="4CDA57C2" w14:textId="3E5BCECE" w:rsidR="00F85FE0" w:rsidRDefault="00D4306B" w:rsidP="00835CF8">
      <w:pPr>
        <w:rPr>
          <w:lang w:eastAsia="en-AU" w:bidi="ar-SA"/>
        </w:rPr>
      </w:pPr>
      <w:r w:rsidRPr="00871FBA">
        <w:rPr>
          <w:lang w:eastAsia="en-AU" w:bidi="ar-SA"/>
        </w:rPr>
        <w:t xml:space="preserve">Two </w:t>
      </w:r>
      <w:r w:rsidRPr="00011E33">
        <w:rPr>
          <w:lang w:eastAsia="en-AU" w:bidi="ar-SA"/>
        </w:rPr>
        <w:t>different consumers</w:t>
      </w:r>
      <w:r w:rsidR="001041CB" w:rsidRPr="00011E33">
        <w:rPr>
          <w:lang w:eastAsia="en-AU" w:bidi="ar-SA"/>
        </w:rPr>
        <w:t xml:space="preserve"> raised this issue in general enquiries</w:t>
      </w:r>
      <w:r w:rsidR="00835CF8" w:rsidRPr="00011E33">
        <w:rPr>
          <w:lang w:eastAsia="en-AU" w:bidi="ar-SA"/>
        </w:rPr>
        <w:t xml:space="preserve"> </w:t>
      </w:r>
      <w:r w:rsidRPr="00011E33">
        <w:rPr>
          <w:lang w:eastAsia="en-AU" w:bidi="ar-SA"/>
        </w:rPr>
        <w:t>to FSANZ</w:t>
      </w:r>
      <w:r w:rsidR="00AF71F6">
        <w:rPr>
          <w:lang w:eastAsia="en-AU" w:bidi="ar-SA"/>
        </w:rPr>
        <w:t>,</w:t>
      </w:r>
      <w:r w:rsidRPr="00011E33">
        <w:rPr>
          <w:lang w:eastAsia="en-AU" w:bidi="ar-SA"/>
        </w:rPr>
        <w:t xml:space="preserve"> </w:t>
      </w:r>
      <w:r w:rsidR="00835CF8" w:rsidRPr="00011E33">
        <w:rPr>
          <w:lang w:eastAsia="en-AU" w:bidi="ar-SA"/>
        </w:rPr>
        <w:t>rather than as a submission</w:t>
      </w:r>
      <w:r w:rsidR="00F85FE0">
        <w:rPr>
          <w:lang w:eastAsia="en-AU" w:bidi="ar-SA"/>
        </w:rPr>
        <w:t xml:space="preserve"> and one group (GMFreeAA) raised it in a submission</w:t>
      </w:r>
      <w:r w:rsidR="00835CF8" w:rsidRPr="00011E33">
        <w:rPr>
          <w:lang w:eastAsia="en-AU" w:bidi="ar-SA"/>
        </w:rPr>
        <w:t>.</w:t>
      </w:r>
      <w:r w:rsidR="00835CF8">
        <w:rPr>
          <w:lang w:eastAsia="en-AU" w:bidi="ar-SA"/>
        </w:rPr>
        <w:t xml:space="preserve"> </w:t>
      </w:r>
    </w:p>
    <w:p w14:paraId="265830D7" w14:textId="77777777" w:rsidR="00F85FE0" w:rsidRDefault="00F85FE0" w:rsidP="00835CF8">
      <w:pPr>
        <w:rPr>
          <w:lang w:eastAsia="en-AU" w:bidi="ar-SA"/>
        </w:rPr>
      </w:pPr>
    </w:p>
    <w:p w14:paraId="78A3D09E" w14:textId="73E8A743" w:rsidR="00835CF8" w:rsidRDefault="003C2E34" w:rsidP="00835CF8">
      <w:pPr>
        <w:rPr>
          <w:lang w:eastAsia="en-AU" w:bidi="ar-SA"/>
        </w:rPr>
      </w:pPr>
      <w:r>
        <w:rPr>
          <w:lang w:eastAsia="en-AU" w:bidi="ar-SA"/>
        </w:rPr>
        <w:t>T</w:t>
      </w:r>
      <w:r w:rsidR="001041CB">
        <w:rPr>
          <w:lang w:eastAsia="en-AU" w:bidi="ar-SA"/>
        </w:rPr>
        <w:t xml:space="preserve">he dark colour described as a bruise or black spot </w:t>
      </w:r>
      <w:r w:rsidR="00EE4189">
        <w:rPr>
          <w:lang w:eastAsia="en-AU" w:bidi="ar-SA"/>
        </w:rPr>
        <w:t xml:space="preserve">and caused by PPO, </w:t>
      </w:r>
      <w:r w:rsidR="001041CB">
        <w:rPr>
          <w:lang w:eastAsia="en-AU" w:bidi="ar-SA"/>
        </w:rPr>
        <w:t>occurs independently of signs of spoilage and is normally removed during</w:t>
      </w:r>
      <w:r w:rsidR="004E0487">
        <w:rPr>
          <w:lang w:eastAsia="en-AU" w:bidi="ar-SA"/>
        </w:rPr>
        <w:t xml:space="preserve"> preparation (at home) or processing (commercially) only because it is visually unappealing</w:t>
      </w:r>
      <w:r w:rsidR="00EE4189">
        <w:rPr>
          <w:lang w:eastAsia="en-AU" w:bidi="ar-SA"/>
        </w:rPr>
        <w:t xml:space="preserve"> in the potato</w:t>
      </w:r>
      <w:r w:rsidR="004E0487">
        <w:rPr>
          <w:lang w:eastAsia="en-AU" w:bidi="ar-SA"/>
        </w:rPr>
        <w:t xml:space="preserve">, not because it is indicative of a safety concern. </w:t>
      </w:r>
      <w:r w:rsidR="00EE4189">
        <w:rPr>
          <w:lang w:eastAsia="en-AU" w:bidi="ar-SA"/>
        </w:rPr>
        <w:t>In other foods like prunes, cocoa beans and tea, the systemic browning caused by PPO is actually desirable</w:t>
      </w:r>
      <w:r w:rsidR="00011E33">
        <w:rPr>
          <w:lang w:eastAsia="en-AU" w:bidi="ar-SA"/>
        </w:rPr>
        <w:t xml:space="preserve"> </w:t>
      </w:r>
      <w:r w:rsidR="00011E33">
        <w:rPr>
          <w:lang w:eastAsia="en-AU" w:bidi="ar-SA"/>
        </w:rPr>
        <w:fldChar w:fldCharType="begin"/>
      </w:r>
      <w:r w:rsidR="00A258B8">
        <w:rPr>
          <w:lang w:eastAsia="en-AU" w:bidi="ar-SA"/>
        </w:rPr>
        <w:instrText xml:space="preserve"> ADDIN REFMGR.CITE &lt;Refman&gt;&lt;Cite&gt;&lt;Author&gt;Parkin&lt;/Author&gt;&lt;Year&gt;2008&lt;/Year&gt;&lt;RecNum&gt;1947&lt;/RecNum&gt;&lt;IDText&gt;Enzymes&lt;/IDText&gt;&lt;MDL Ref_Type="Book Chapter"&gt;&lt;Ref_Type&gt;Book Chapter&lt;/Ref_Type&gt;&lt;Ref_ID&gt;1947&lt;/Ref_ID&gt;&lt;Title_Primary&gt;Enzymes&lt;/Title_Primary&gt;&lt;Authors_Primary&gt;Parkin,K.L.&lt;/Authors_Primary&gt;&lt;Date_Primary&gt;2008&lt;/Date_Primary&gt;&lt;Keywords&gt;chemistry&lt;/Keywords&gt;&lt;Keywords&gt;Enzymes&lt;/Keywords&gt;&lt;Reprint&gt;Not in File&lt;/Reprint&gt;&lt;Start_Page&gt;331&lt;/Start_Page&gt;&lt;End_Page&gt;436&lt;/End_Page&gt;&lt;Volume&gt;4th&lt;/Volume&gt;&lt;Title_Secondary&gt;Fennema&amp;apos;s food chemistry&lt;/Title_Secondary&gt;&lt;Authors_Secondary&gt;Damodaran,S.&lt;/Authors_Secondary&gt;&lt;Authors_Secondary&gt;Parkin,K.L.&lt;/Authors_Secondary&gt;&lt;Authors_Secondary&gt;Fennema,O.R.&lt;/Authors_Secondary&gt;&lt;Issue&gt;6&lt;/Issue&gt;&lt;Pub_Place&gt;Boca Raton, FL&lt;/Pub_Place&gt;&lt;Publisher&gt;CRC Press&lt;/Publisher&gt;&lt;Web_URL_Link2&gt;&lt;u&gt;file://Y:\References\GM References_in RefMan\Damodaran et al_2007_Fennemas_Food_Chem_pp401-411_PPO.pdf&lt;/u&gt;&lt;/Web_URL_Link2&gt;&lt;ZZ_WorkformID&gt;3&lt;/ZZ_WorkformID&gt;&lt;/MDL&gt;&lt;/Cite&gt;&lt;/Refman&gt;</w:instrText>
      </w:r>
      <w:r w:rsidR="00011E33">
        <w:rPr>
          <w:lang w:eastAsia="en-AU" w:bidi="ar-SA"/>
        </w:rPr>
        <w:fldChar w:fldCharType="separate"/>
      </w:r>
      <w:r w:rsidR="00011E33">
        <w:rPr>
          <w:noProof/>
          <w:lang w:eastAsia="en-AU" w:bidi="ar-SA"/>
        </w:rPr>
        <w:t>(Parkin 2008)</w:t>
      </w:r>
      <w:r w:rsidR="00011E33">
        <w:rPr>
          <w:lang w:eastAsia="en-AU" w:bidi="ar-SA"/>
        </w:rPr>
        <w:fldChar w:fldCharType="end"/>
      </w:r>
      <w:r w:rsidR="00EE4189">
        <w:rPr>
          <w:lang w:eastAsia="en-AU" w:bidi="ar-SA"/>
        </w:rPr>
        <w:t xml:space="preserve">. </w:t>
      </w:r>
      <w:r w:rsidR="004E0487">
        <w:rPr>
          <w:lang w:eastAsia="en-AU" w:bidi="ar-SA"/>
        </w:rPr>
        <w:t xml:space="preserve">A number of preventative measures to minimise </w:t>
      </w:r>
      <w:r w:rsidR="00011E33">
        <w:rPr>
          <w:lang w:eastAsia="en-AU" w:bidi="ar-SA"/>
        </w:rPr>
        <w:t xml:space="preserve">PPO activity (and hence </w:t>
      </w:r>
      <w:r w:rsidR="004E0487">
        <w:rPr>
          <w:lang w:eastAsia="en-AU" w:bidi="ar-SA"/>
        </w:rPr>
        <w:t>blackspot bruising</w:t>
      </w:r>
      <w:r w:rsidR="00011E33">
        <w:rPr>
          <w:lang w:eastAsia="en-AU" w:bidi="ar-SA"/>
        </w:rPr>
        <w:t>)</w:t>
      </w:r>
      <w:r w:rsidR="004E0487">
        <w:rPr>
          <w:lang w:eastAsia="en-AU" w:bidi="ar-SA"/>
        </w:rPr>
        <w:t xml:space="preserve"> </w:t>
      </w:r>
      <w:r w:rsidR="00EE4189">
        <w:rPr>
          <w:lang w:eastAsia="en-AU" w:bidi="ar-SA"/>
        </w:rPr>
        <w:t xml:space="preserve">in potatoes </w:t>
      </w:r>
      <w:r w:rsidR="004E0487">
        <w:rPr>
          <w:lang w:eastAsia="en-AU" w:bidi="ar-SA"/>
        </w:rPr>
        <w:t>are utilised in the food industry (e.g. submerging the potatoes in water, modified atmosphere packaging) and the genetic modification in E12 is just another approach to minimising the problem.</w:t>
      </w:r>
      <w:r w:rsidR="00D060A2">
        <w:rPr>
          <w:lang w:eastAsia="en-AU" w:bidi="ar-SA"/>
        </w:rPr>
        <w:t xml:space="preserve"> Standard food safety protocols for potato preparation will still need to be followed for E12 just as for non-GM potatoes.</w:t>
      </w:r>
    </w:p>
    <w:p w14:paraId="76EA8DF3" w14:textId="40DDF9B3" w:rsidR="00F85FE0" w:rsidRDefault="00183B79" w:rsidP="001F5B84">
      <w:pPr>
        <w:pStyle w:val="Heading4"/>
        <w:rPr>
          <w:lang w:eastAsia="en-AU"/>
        </w:rPr>
      </w:pPr>
      <w:r>
        <w:rPr>
          <w:lang w:eastAsia="en-AU"/>
        </w:rPr>
        <w:t>2.1.2.2</w:t>
      </w:r>
      <w:r w:rsidR="00F85FE0">
        <w:rPr>
          <w:lang w:eastAsia="en-AU"/>
        </w:rPr>
        <w:tab/>
        <w:t>The traits in E12 can be found in other non-GM potatoes so there is no need for E12</w:t>
      </w:r>
      <w:r w:rsidR="001F5B84">
        <w:rPr>
          <w:lang w:eastAsia="en-AU"/>
        </w:rPr>
        <w:t xml:space="preserve">. </w:t>
      </w:r>
      <w:r w:rsidR="00A5663A">
        <w:rPr>
          <w:lang w:eastAsia="en-AU"/>
        </w:rPr>
        <w:t>FSANZ has neither provided evidence that acrylamide causes cancer nor</w:t>
      </w:r>
      <w:r w:rsidR="001F5B84">
        <w:rPr>
          <w:lang w:eastAsia="en-AU"/>
        </w:rPr>
        <w:t xml:space="preserve"> investigated the efficacy of the reduced acrylamide potential of E12.</w:t>
      </w:r>
      <w:r w:rsidR="00A64EF5">
        <w:rPr>
          <w:lang w:eastAsia="en-AU"/>
        </w:rPr>
        <w:t xml:space="preserve"> There have been no studies to show E1</w:t>
      </w:r>
      <w:r w:rsidR="00AE501E">
        <w:rPr>
          <w:lang w:eastAsia="en-AU"/>
        </w:rPr>
        <w:t>2 potatoes protect hum</w:t>
      </w:r>
      <w:r w:rsidR="00A5663A">
        <w:rPr>
          <w:lang w:eastAsia="en-AU"/>
        </w:rPr>
        <w:t xml:space="preserve">an health </w:t>
      </w:r>
      <w:r w:rsidR="00AE501E">
        <w:rPr>
          <w:lang w:eastAsia="en-AU"/>
        </w:rPr>
        <w:t>(GMFreeAA).</w:t>
      </w:r>
    </w:p>
    <w:p w14:paraId="56150A33" w14:textId="77777777" w:rsidR="00360155" w:rsidRDefault="003C2E34" w:rsidP="00835CF8">
      <w:pPr>
        <w:rPr>
          <w:lang w:eastAsia="en-AU" w:bidi="ar-SA"/>
        </w:rPr>
      </w:pPr>
      <w:r>
        <w:rPr>
          <w:lang w:eastAsia="en-AU" w:bidi="ar-SA"/>
        </w:rPr>
        <w:t xml:space="preserve">The purpose of the assessment under Standard 1.5.2 </w:t>
      </w:r>
      <w:r w:rsidR="00F85FE0">
        <w:rPr>
          <w:lang w:eastAsia="en-AU" w:bidi="ar-SA"/>
        </w:rPr>
        <w:t xml:space="preserve">is </w:t>
      </w:r>
      <w:r>
        <w:rPr>
          <w:lang w:eastAsia="en-AU" w:bidi="ar-SA"/>
        </w:rPr>
        <w:t>to consider</w:t>
      </w:r>
      <w:r w:rsidR="00F85FE0">
        <w:rPr>
          <w:lang w:eastAsia="en-AU" w:bidi="ar-SA"/>
        </w:rPr>
        <w:t xml:space="preserve"> the </w:t>
      </w:r>
      <w:r w:rsidR="00F85FE0" w:rsidRPr="00A53299">
        <w:rPr>
          <w:b/>
          <w:lang w:eastAsia="en-AU"/>
        </w:rPr>
        <w:t>safety</w:t>
      </w:r>
      <w:r w:rsidR="00A5663A">
        <w:rPr>
          <w:lang w:eastAsia="en-AU" w:bidi="ar-SA"/>
        </w:rPr>
        <w:t xml:space="preserve"> of a GM food</w:t>
      </w:r>
      <w:r w:rsidR="00F85FE0">
        <w:rPr>
          <w:lang w:eastAsia="en-AU" w:bidi="ar-SA"/>
        </w:rPr>
        <w:t xml:space="preserve">. </w:t>
      </w:r>
    </w:p>
    <w:p w14:paraId="337FC33F" w14:textId="55D46C7E" w:rsidR="00B02187" w:rsidRDefault="00F85FE0" w:rsidP="00835CF8">
      <w:pPr>
        <w:rPr>
          <w:lang w:eastAsia="en-AU" w:bidi="ar-SA"/>
        </w:rPr>
      </w:pPr>
      <w:r>
        <w:rPr>
          <w:lang w:eastAsia="en-AU" w:bidi="ar-SA"/>
        </w:rPr>
        <w:t>Questions of whether or not a food is needed in the food supply</w:t>
      </w:r>
      <w:r w:rsidR="00AE501E">
        <w:rPr>
          <w:lang w:eastAsia="en-AU" w:bidi="ar-SA"/>
        </w:rPr>
        <w:t>,</w:t>
      </w:r>
      <w:r>
        <w:rPr>
          <w:lang w:eastAsia="en-AU" w:bidi="ar-SA"/>
        </w:rPr>
        <w:t xml:space="preserve"> or whether </w:t>
      </w:r>
      <w:r w:rsidR="001F5B84">
        <w:rPr>
          <w:lang w:eastAsia="en-AU" w:bidi="ar-SA"/>
        </w:rPr>
        <w:t>there is efficacy of the claimed traits expressed as a result of</w:t>
      </w:r>
      <w:r>
        <w:rPr>
          <w:lang w:eastAsia="en-AU" w:bidi="ar-SA"/>
        </w:rPr>
        <w:t xml:space="preserve"> t</w:t>
      </w:r>
      <w:r w:rsidR="001F5B84">
        <w:rPr>
          <w:lang w:eastAsia="en-AU" w:bidi="ar-SA"/>
        </w:rPr>
        <w:t>he genetic modification</w:t>
      </w:r>
      <w:r w:rsidR="00AE501E">
        <w:rPr>
          <w:lang w:eastAsia="en-AU" w:bidi="ar-SA"/>
        </w:rPr>
        <w:t>, or whether there is a health benefit of a GM food</w:t>
      </w:r>
      <w:r w:rsidR="001F5B84">
        <w:rPr>
          <w:lang w:eastAsia="en-AU" w:bidi="ar-SA"/>
        </w:rPr>
        <w:t xml:space="preserve"> are irrelevant to </w:t>
      </w:r>
      <w:r w:rsidR="00A23C6C">
        <w:rPr>
          <w:lang w:eastAsia="en-AU" w:bidi="ar-SA"/>
        </w:rPr>
        <w:t>a consideration of safety</w:t>
      </w:r>
      <w:r w:rsidR="00AE501E">
        <w:rPr>
          <w:lang w:eastAsia="en-AU" w:bidi="ar-SA"/>
        </w:rPr>
        <w:t xml:space="preserve"> </w:t>
      </w:r>
      <w:r w:rsidR="00AE501E" w:rsidRPr="00AE501E">
        <w:rPr>
          <w:i/>
          <w:lang w:eastAsia="en-AU" w:bidi="ar-SA"/>
        </w:rPr>
        <w:t>per se</w:t>
      </w:r>
      <w:r w:rsidR="00765421">
        <w:rPr>
          <w:lang w:eastAsia="en-AU" w:bidi="ar-SA"/>
        </w:rPr>
        <w:t>. None of these fac</w:t>
      </w:r>
      <w:r w:rsidR="00A23C6C">
        <w:rPr>
          <w:lang w:eastAsia="en-AU" w:bidi="ar-SA"/>
        </w:rPr>
        <w:t xml:space="preserve">tors triggers a data requirement in Section 3.5.1 of the FSANZ </w:t>
      </w:r>
      <w:r w:rsidR="00A23C6C" w:rsidRPr="00A258B8">
        <w:rPr>
          <w:i/>
          <w:lang w:eastAsia="en-AU" w:bidi="ar-SA"/>
        </w:rPr>
        <w:t>Application Handbook</w:t>
      </w:r>
      <w:r w:rsidR="00765421">
        <w:rPr>
          <w:lang w:eastAsia="en-AU" w:bidi="ar-SA"/>
        </w:rPr>
        <w:t xml:space="preserve"> </w:t>
      </w:r>
      <w:r w:rsidR="00A258B8">
        <w:rPr>
          <w:lang w:eastAsia="en-AU" w:bidi="ar-SA"/>
        </w:rPr>
        <w:fldChar w:fldCharType="begin"/>
      </w:r>
      <w:r w:rsidR="00A258B8">
        <w:rPr>
          <w:lang w:eastAsia="en-AU" w:bidi="ar-SA"/>
        </w:rPr>
        <w:instrText xml:space="preserve"> ADDIN REFMGR.CITE &lt;Refman&gt;&lt;Cite&gt;&lt;Author&gt;FSANZ&lt;/Author&gt;&lt;Year&gt;2016&lt;/Year&gt;&lt;RecNum&gt;1304&lt;/RecNum&gt;&lt;IDText&gt;Application handbook&lt;/IDText&gt;&lt;MDL Ref_Type="Report"&gt;&lt;Ref_Type&gt;Report&lt;/Ref_Type&gt;&lt;Ref_ID&gt;1304&lt;/Ref_ID&gt;&lt;Title_Primary&gt;Application handbook&lt;/Title_Primary&gt;&lt;Authors_Primary&gt;FSANZ&lt;/Authors_Primary&gt;&lt;Date_Primary&gt;2016&lt;/Date_Primary&gt;&lt;Keywords&gt;standards&lt;/Keywords&gt;&lt;Reprint&gt;Not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sidR="00A258B8">
        <w:rPr>
          <w:lang w:eastAsia="en-AU" w:bidi="ar-SA"/>
        </w:rPr>
        <w:fldChar w:fldCharType="separate"/>
      </w:r>
      <w:r w:rsidR="00A258B8">
        <w:rPr>
          <w:noProof/>
          <w:lang w:eastAsia="en-AU" w:bidi="ar-SA"/>
        </w:rPr>
        <w:t>(FSANZ 2016)</w:t>
      </w:r>
      <w:r w:rsidR="00A258B8">
        <w:rPr>
          <w:lang w:eastAsia="en-AU" w:bidi="ar-SA"/>
        </w:rPr>
        <w:fldChar w:fldCharType="end"/>
      </w:r>
      <w:r w:rsidR="00A258B8">
        <w:rPr>
          <w:lang w:eastAsia="en-AU" w:bidi="ar-SA"/>
        </w:rPr>
        <w:t xml:space="preserve"> </w:t>
      </w:r>
      <w:r w:rsidR="00A23C6C">
        <w:rPr>
          <w:lang w:eastAsia="en-AU" w:bidi="ar-SA"/>
        </w:rPr>
        <w:t xml:space="preserve">which sets out </w:t>
      </w:r>
      <w:r w:rsidR="002F76D0">
        <w:rPr>
          <w:lang w:eastAsia="en-AU" w:bidi="ar-SA"/>
        </w:rPr>
        <w:t xml:space="preserve">safety </w:t>
      </w:r>
      <w:r w:rsidR="00A23C6C">
        <w:rPr>
          <w:lang w:eastAsia="en-AU" w:bidi="ar-SA"/>
        </w:rPr>
        <w:t>information that must be submitted to support an application for a new GM food.</w:t>
      </w:r>
    </w:p>
    <w:p w14:paraId="2B26BA82" w14:textId="09DD6AF0" w:rsidR="00360155" w:rsidRDefault="00360155" w:rsidP="00835CF8">
      <w:pPr>
        <w:rPr>
          <w:rFonts w:cs="Arial"/>
          <w:color w:val="000000" w:themeColor="text1"/>
          <w:szCs w:val="22"/>
          <w:lang w:val="en"/>
        </w:rPr>
      </w:pPr>
    </w:p>
    <w:p w14:paraId="6482F65F" w14:textId="10CF8347" w:rsidR="001F5B84" w:rsidRDefault="00AE6518" w:rsidP="00835CF8">
      <w:pPr>
        <w:rPr>
          <w:lang w:eastAsia="en-AU" w:bidi="ar-SA"/>
        </w:rPr>
      </w:pPr>
      <w:r>
        <w:rPr>
          <w:rFonts w:cs="Arial"/>
          <w:color w:val="000000" w:themeColor="text1"/>
          <w:szCs w:val="22"/>
          <w:lang w:val="en"/>
        </w:rPr>
        <w:t>A</w:t>
      </w:r>
      <w:r w:rsidR="00B02187">
        <w:rPr>
          <w:rFonts w:cs="Arial"/>
          <w:color w:val="000000" w:themeColor="text1"/>
          <w:szCs w:val="22"/>
          <w:lang w:val="en"/>
        </w:rPr>
        <w:t>ny</w:t>
      </w:r>
      <w:r>
        <w:rPr>
          <w:rFonts w:cs="Arial"/>
          <w:color w:val="000000" w:themeColor="text1"/>
          <w:szCs w:val="22"/>
          <w:lang w:val="en"/>
        </w:rPr>
        <w:t xml:space="preserve"> claim</w:t>
      </w:r>
      <w:r w:rsidR="00B02187">
        <w:rPr>
          <w:rFonts w:cs="Arial"/>
          <w:color w:val="000000" w:themeColor="text1"/>
          <w:szCs w:val="22"/>
          <w:lang w:val="en"/>
        </w:rPr>
        <w:t>s</w:t>
      </w:r>
      <w:r>
        <w:rPr>
          <w:rFonts w:cs="Arial"/>
          <w:color w:val="000000" w:themeColor="text1"/>
          <w:szCs w:val="22"/>
          <w:lang w:val="en"/>
        </w:rPr>
        <w:t xml:space="preserve"> made about reduced acrylamide </w:t>
      </w:r>
      <w:r w:rsidR="0009116E">
        <w:rPr>
          <w:rFonts w:cs="Arial"/>
          <w:color w:val="000000" w:themeColor="text1"/>
          <w:szCs w:val="22"/>
          <w:lang w:val="en"/>
        </w:rPr>
        <w:t xml:space="preserve">and cancer </w:t>
      </w:r>
      <w:r w:rsidR="00AE501E">
        <w:rPr>
          <w:rFonts w:cs="Arial"/>
          <w:color w:val="000000" w:themeColor="text1"/>
          <w:szCs w:val="22"/>
          <w:lang w:val="en"/>
        </w:rPr>
        <w:t xml:space="preserve">would </w:t>
      </w:r>
      <w:r w:rsidR="00B02187">
        <w:rPr>
          <w:rFonts w:cs="Arial"/>
          <w:color w:val="000000" w:themeColor="text1"/>
          <w:szCs w:val="22"/>
          <w:lang w:val="en"/>
        </w:rPr>
        <w:t>be subject to</w:t>
      </w:r>
      <w:r w:rsidR="00AE501E">
        <w:rPr>
          <w:rFonts w:cs="Arial"/>
          <w:color w:val="000000" w:themeColor="text1"/>
          <w:szCs w:val="22"/>
          <w:lang w:val="en"/>
        </w:rPr>
        <w:t xml:space="preserve"> other standards in the Code</w:t>
      </w:r>
      <w:r w:rsidR="00B02187">
        <w:rPr>
          <w:rFonts w:cs="Arial"/>
          <w:color w:val="000000" w:themeColor="text1"/>
          <w:szCs w:val="22"/>
          <w:lang w:val="en"/>
        </w:rPr>
        <w:t xml:space="preserve">. </w:t>
      </w:r>
      <w:r w:rsidR="007F5B55" w:rsidRPr="0009116E">
        <w:rPr>
          <w:rFonts w:cs="Arial"/>
          <w:color w:val="000000" w:themeColor="text1"/>
          <w:szCs w:val="22"/>
          <w:lang w:val="en"/>
        </w:rPr>
        <w:t xml:space="preserve">Standard 1.2.7 </w:t>
      </w:r>
      <w:r w:rsidR="007C31FF">
        <w:rPr>
          <w:rFonts w:cs="Arial"/>
          <w:color w:val="000000" w:themeColor="text1"/>
          <w:szCs w:val="22"/>
          <w:lang w:val="en"/>
        </w:rPr>
        <w:t>–</w:t>
      </w:r>
      <w:r w:rsidR="00044956">
        <w:rPr>
          <w:rFonts w:cs="Arial"/>
          <w:color w:val="000000" w:themeColor="text1"/>
          <w:szCs w:val="22"/>
          <w:lang w:val="en"/>
        </w:rPr>
        <w:t xml:space="preserve"> </w:t>
      </w:r>
      <w:r w:rsidR="007F5B55" w:rsidRPr="0009116E">
        <w:rPr>
          <w:rFonts w:cs="Arial"/>
          <w:color w:val="000000" w:themeColor="text1"/>
          <w:szCs w:val="22"/>
          <w:lang w:val="en"/>
        </w:rPr>
        <w:t>Nutriti</w:t>
      </w:r>
      <w:r w:rsidR="007F5B55">
        <w:rPr>
          <w:rFonts w:cs="Arial"/>
          <w:color w:val="000000" w:themeColor="text1"/>
          <w:szCs w:val="22"/>
          <w:lang w:val="en"/>
        </w:rPr>
        <w:t xml:space="preserve">on, health and related </w:t>
      </w:r>
      <w:r w:rsidR="000A2ABA">
        <w:rPr>
          <w:rFonts w:cs="Arial"/>
          <w:color w:val="000000" w:themeColor="text1"/>
          <w:szCs w:val="22"/>
          <w:lang w:val="en"/>
        </w:rPr>
        <w:t>claims</w:t>
      </w:r>
      <w:r w:rsidR="00B02187">
        <w:rPr>
          <w:rFonts w:cs="Arial"/>
          <w:color w:val="000000" w:themeColor="text1"/>
          <w:szCs w:val="22"/>
          <w:lang w:val="en"/>
        </w:rPr>
        <w:t xml:space="preserve">, for example, also </w:t>
      </w:r>
      <w:r w:rsidR="0009116E" w:rsidRPr="0009116E">
        <w:rPr>
          <w:rFonts w:cs="Arial"/>
          <w:color w:val="000000" w:themeColor="text1"/>
          <w:szCs w:val="22"/>
          <w:lang w:val="en"/>
        </w:rPr>
        <w:t>contains safeguards against misleading and deceptive claims</w:t>
      </w:r>
      <w:r w:rsidR="0009116E">
        <w:rPr>
          <w:rFonts w:cs="Arial"/>
          <w:color w:val="000000" w:themeColor="text1"/>
          <w:szCs w:val="22"/>
          <w:lang w:val="en"/>
        </w:rPr>
        <w:t>. C</w:t>
      </w:r>
      <w:r w:rsidR="0009116E" w:rsidRPr="0009116E">
        <w:rPr>
          <w:rFonts w:cs="Arial"/>
          <w:color w:val="000000" w:themeColor="text1"/>
          <w:szCs w:val="22"/>
          <w:lang w:val="en"/>
        </w:rPr>
        <w:t>laims that state, imply</w:t>
      </w:r>
      <w:r w:rsidR="006D3637">
        <w:rPr>
          <w:rFonts w:cs="Arial"/>
          <w:color w:val="000000" w:themeColor="text1"/>
          <w:szCs w:val="22"/>
          <w:lang w:val="en"/>
        </w:rPr>
        <w:t xml:space="preserve"> </w:t>
      </w:r>
      <w:r w:rsidR="0009116E" w:rsidRPr="0009116E">
        <w:rPr>
          <w:rFonts w:cs="Arial"/>
          <w:color w:val="000000" w:themeColor="text1"/>
          <w:szCs w:val="22"/>
          <w:lang w:val="en"/>
        </w:rPr>
        <w:t>or suggest that a food or property of food has</w:t>
      </w:r>
      <w:r w:rsidR="000A71CE">
        <w:rPr>
          <w:rFonts w:cs="Arial"/>
          <w:color w:val="000000" w:themeColor="text1"/>
          <w:szCs w:val="22"/>
          <w:lang w:val="en"/>
        </w:rPr>
        <w:t>,</w:t>
      </w:r>
      <w:r w:rsidR="0009116E" w:rsidRPr="0009116E">
        <w:rPr>
          <w:rFonts w:cs="Arial"/>
          <w:color w:val="000000" w:themeColor="text1"/>
          <w:szCs w:val="22"/>
          <w:lang w:val="en"/>
        </w:rPr>
        <w:t xml:space="preserve"> or may have</w:t>
      </w:r>
      <w:r w:rsidR="000A71CE">
        <w:rPr>
          <w:rFonts w:cs="Arial"/>
          <w:color w:val="000000" w:themeColor="text1"/>
          <w:szCs w:val="22"/>
          <w:lang w:val="en"/>
        </w:rPr>
        <w:t>,</w:t>
      </w:r>
      <w:r w:rsidR="0009116E" w:rsidRPr="0009116E">
        <w:rPr>
          <w:rFonts w:cs="Arial"/>
          <w:color w:val="000000" w:themeColor="text1"/>
          <w:szCs w:val="22"/>
          <w:lang w:val="en"/>
        </w:rPr>
        <w:t xml:space="preserve"> a health effect are health claims. A health claim that refers to a serious disease (e.g. cancer) is a high level health claim</w:t>
      </w:r>
      <w:r w:rsidR="000A2ABA">
        <w:rPr>
          <w:rFonts w:cs="Arial"/>
          <w:color w:val="000000" w:themeColor="text1"/>
          <w:szCs w:val="22"/>
          <w:lang w:val="en"/>
        </w:rPr>
        <w:t xml:space="preserve"> and only </w:t>
      </w:r>
      <w:r w:rsidR="0009116E" w:rsidRPr="0009116E">
        <w:rPr>
          <w:rFonts w:cs="Arial"/>
          <w:color w:val="000000" w:themeColor="text1"/>
          <w:szCs w:val="22"/>
          <w:lang w:val="en"/>
        </w:rPr>
        <w:t xml:space="preserve">pre-approved high level health claims in Standard 1.2.7 </w:t>
      </w:r>
      <w:r w:rsidR="000A2ABA">
        <w:rPr>
          <w:rFonts w:cs="Arial"/>
          <w:color w:val="000000" w:themeColor="text1"/>
          <w:szCs w:val="22"/>
          <w:lang w:val="en"/>
        </w:rPr>
        <w:t xml:space="preserve">and Schedule S4—4 </w:t>
      </w:r>
      <w:r w:rsidR="0009116E" w:rsidRPr="0009116E">
        <w:rPr>
          <w:rFonts w:cs="Arial"/>
          <w:color w:val="000000" w:themeColor="text1"/>
          <w:szCs w:val="22"/>
          <w:lang w:val="en"/>
        </w:rPr>
        <w:t xml:space="preserve">are able to be made. </w:t>
      </w:r>
      <w:r w:rsidR="000A71CE">
        <w:rPr>
          <w:rFonts w:cs="Arial"/>
          <w:color w:val="000000" w:themeColor="text1"/>
          <w:szCs w:val="22"/>
          <w:lang w:val="en"/>
        </w:rPr>
        <w:t xml:space="preserve">Currently, there are </w:t>
      </w:r>
      <w:r w:rsidR="0009116E" w:rsidRPr="0009116E">
        <w:rPr>
          <w:rFonts w:cs="Arial"/>
          <w:color w:val="000000" w:themeColor="text1"/>
          <w:szCs w:val="22"/>
          <w:lang w:val="en"/>
        </w:rPr>
        <w:t xml:space="preserve">no </w:t>
      </w:r>
      <w:r w:rsidR="000A2ABA">
        <w:rPr>
          <w:rFonts w:cs="Arial"/>
          <w:color w:val="000000" w:themeColor="text1"/>
          <w:szCs w:val="22"/>
          <w:lang w:val="en"/>
        </w:rPr>
        <w:t>permitted</w:t>
      </w:r>
      <w:r w:rsidR="0009116E" w:rsidRPr="0009116E">
        <w:rPr>
          <w:rFonts w:cs="Arial"/>
          <w:color w:val="000000" w:themeColor="text1"/>
          <w:szCs w:val="22"/>
          <w:lang w:val="en"/>
        </w:rPr>
        <w:t xml:space="preserve"> high level health claims</w:t>
      </w:r>
      <w:r w:rsidR="000A2ABA">
        <w:rPr>
          <w:rFonts w:cs="Arial"/>
          <w:color w:val="000000" w:themeColor="text1"/>
          <w:szCs w:val="22"/>
          <w:lang w:val="en"/>
        </w:rPr>
        <w:t xml:space="preserve"> about cancer </w:t>
      </w:r>
      <w:r w:rsidR="0009116E" w:rsidRPr="0009116E">
        <w:rPr>
          <w:rFonts w:cs="Arial"/>
          <w:color w:val="000000" w:themeColor="text1"/>
          <w:szCs w:val="22"/>
          <w:lang w:val="en"/>
        </w:rPr>
        <w:t xml:space="preserve">in the </w:t>
      </w:r>
      <w:r w:rsidR="000A2ABA">
        <w:rPr>
          <w:rFonts w:cs="Arial"/>
          <w:color w:val="000000" w:themeColor="text1"/>
          <w:szCs w:val="22"/>
          <w:lang w:val="en"/>
        </w:rPr>
        <w:t>Code.</w:t>
      </w:r>
    </w:p>
    <w:p w14:paraId="1D0EEA76" w14:textId="77777777" w:rsidR="00A5663A" w:rsidRDefault="00A5663A" w:rsidP="00835CF8">
      <w:pPr>
        <w:rPr>
          <w:lang w:eastAsia="en-AU" w:bidi="ar-SA"/>
        </w:rPr>
      </w:pPr>
    </w:p>
    <w:p w14:paraId="76EEDE87" w14:textId="77777777" w:rsidR="007C31FF" w:rsidRDefault="00B02187" w:rsidP="00E46E80">
      <w:pPr>
        <w:rPr>
          <w:rFonts w:cs="Arial"/>
          <w:color w:val="000000" w:themeColor="text1"/>
          <w:szCs w:val="22"/>
        </w:rPr>
      </w:pPr>
      <w:r>
        <w:rPr>
          <w:rFonts w:cs="Arial"/>
          <w:color w:val="000000" w:themeColor="text1"/>
          <w:szCs w:val="22"/>
        </w:rPr>
        <w:t xml:space="preserve">In terms of </w:t>
      </w:r>
      <w:r w:rsidRPr="000A71CE">
        <w:rPr>
          <w:rFonts w:cs="Arial"/>
          <w:color w:val="000000" w:themeColor="text1"/>
          <w:szCs w:val="22"/>
        </w:rPr>
        <w:t>acrylamide</w:t>
      </w:r>
      <w:r>
        <w:rPr>
          <w:rFonts w:cs="Arial"/>
          <w:color w:val="000000" w:themeColor="text1"/>
          <w:szCs w:val="22"/>
        </w:rPr>
        <w:t>, FSANZ’s position remains that,</w:t>
      </w:r>
      <w:r w:rsidR="0038635B">
        <w:rPr>
          <w:rFonts w:cs="Arial"/>
          <w:color w:val="000000" w:themeColor="text1"/>
          <w:szCs w:val="22"/>
        </w:rPr>
        <w:t xml:space="preserve"> </w:t>
      </w:r>
      <w:r w:rsidR="000A71CE" w:rsidRPr="000A71CE">
        <w:rPr>
          <w:rFonts w:cs="Arial"/>
          <w:color w:val="000000" w:themeColor="text1"/>
          <w:szCs w:val="22"/>
        </w:rPr>
        <w:t xml:space="preserve">while </w:t>
      </w:r>
      <w:r w:rsidR="00044956">
        <w:rPr>
          <w:rFonts w:cs="Arial"/>
          <w:color w:val="000000" w:themeColor="text1"/>
          <w:szCs w:val="22"/>
        </w:rPr>
        <w:t>there is no direct evidence</w:t>
      </w:r>
      <w:r>
        <w:rPr>
          <w:rFonts w:cs="Arial"/>
          <w:color w:val="000000" w:themeColor="text1"/>
          <w:szCs w:val="22"/>
        </w:rPr>
        <w:t xml:space="preserve"> </w:t>
      </w:r>
      <w:r w:rsidR="000A71CE" w:rsidRPr="000A71CE">
        <w:rPr>
          <w:rFonts w:cs="Arial"/>
          <w:color w:val="000000" w:themeColor="text1"/>
          <w:szCs w:val="22"/>
        </w:rPr>
        <w:t xml:space="preserve">acrylamide can cause cancer in humans, there is evidence </w:t>
      </w:r>
      <w:r>
        <w:rPr>
          <w:rFonts w:cs="Arial"/>
          <w:color w:val="000000" w:themeColor="text1"/>
          <w:szCs w:val="22"/>
        </w:rPr>
        <w:t xml:space="preserve">that </w:t>
      </w:r>
      <w:r w:rsidR="000A71CE" w:rsidRPr="000A71CE">
        <w:rPr>
          <w:rFonts w:cs="Arial"/>
          <w:color w:val="000000" w:themeColor="text1"/>
          <w:szCs w:val="22"/>
        </w:rPr>
        <w:t xml:space="preserve">it can cause cancer in laboratory animals. </w:t>
      </w:r>
      <w:r w:rsidR="00130B35" w:rsidRPr="006014A7">
        <w:rPr>
          <w:rFonts w:cs="Arial"/>
          <w:color w:val="000000" w:themeColor="text1"/>
          <w:szCs w:val="22"/>
        </w:rPr>
        <w:t xml:space="preserve">The </w:t>
      </w:r>
      <w:hyperlink r:id="rId22" w:history="1">
        <w:r w:rsidR="006014A7" w:rsidRPr="006014A7">
          <w:rPr>
            <w:rStyle w:val="Hyperlink"/>
            <w:rFonts w:cs="Arial"/>
            <w:szCs w:val="22"/>
            <w:lang w:val="en-US"/>
          </w:rPr>
          <w:t>24</w:t>
        </w:r>
        <w:r w:rsidR="006014A7" w:rsidRPr="007C31FF">
          <w:rPr>
            <w:rStyle w:val="Hyperlink"/>
            <w:rFonts w:cs="Arial"/>
            <w:szCs w:val="22"/>
            <w:vertAlign w:val="superscript"/>
            <w:lang w:val="en-US"/>
          </w:rPr>
          <w:t>th</w:t>
        </w:r>
        <w:r w:rsidR="006014A7" w:rsidRPr="006014A7">
          <w:rPr>
            <w:rStyle w:val="Hyperlink"/>
            <w:rFonts w:cs="Arial"/>
            <w:szCs w:val="22"/>
            <w:lang w:val="en-US"/>
          </w:rPr>
          <w:t xml:space="preserve"> Australian Total Diet Study</w:t>
        </w:r>
      </w:hyperlink>
      <w:r w:rsidR="006014A7">
        <w:rPr>
          <w:rStyle w:val="FootnoteReference"/>
          <w:rFonts w:cs="Arial"/>
          <w:color w:val="676767"/>
          <w:szCs w:val="22"/>
          <w:lang w:val="en-US"/>
        </w:rPr>
        <w:footnoteReference w:id="9"/>
      </w:r>
      <w:r w:rsidR="006014A7" w:rsidRPr="006014A7">
        <w:rPr>
          <w:rFonts w:cs="Arial"/>
          <w:color w:val="676767"/>
          <w:szCs w:val="22"/>
          <w:lang w:val="en-US"/>
        </w:rPr>
        <w:t xml:space="preserve"> </w:t>
      </w:r>
      <w:r w:rsidR="00130B35" w:rsidRPr="006014A7">
        <w:rPr>
          <w:rFonts w:cs="Arial"/>
          <w:color w:val="000000" w:themeColor="text1"/>
          <w:szCs w:val="22"/>
        </w:rPr>
        <w:t>found that</w:t>
      </w:r>
      <w:r w:rsidR="00130B35">
        <w:rPr>
          <w:rFonts w:cs="Arial"/>
          <w:color w:val="000000" w:themeColor="text1"/>
          <w:szCs w:val="22"/>
        </w:rPr>
        <w:t xml:space="preserve"> </w:t>
      </w:r>
      <w:r w:rsidR="006014A7">
        <w:rPr>
          <w:rFonts w:cs="Arial"/>
          <w:color w:val="000000" w:themeColor="text1"/>
          <w:szCs w:val="22"/>
        </w:rPr>
        <w:t xml:space="preserve">the exposure of </w:t>
      </w:r>
      <w:r w:rsidR="00130B35">
        <w:rPr>
          <w:rFonts w:cs="Arial"/>
          <w:color w:val="000000" w:themeColor="text1"/>
          <w:szCs w:val="22"/>
        </w:rPr>
        <w:t>Australian consumers</w:t>
      </w:r>
      <w:r w:rsidR="006014A7">
        <w:rPr>
          <w:rFonts w:cs="Arial"/>
          <w:color w:val="000000" w:themeColor="text1"/>
          <w:szCs w:val="22"/>
        </w:rPr>
        <w:t xml:space="preserve"> to acrylamide is in the range</w:t>
      </w:r>
      <w:r w:rsidR="00130B35">
        <w:rPr>
          <w:rFonts w:cs="Arial"/>
          <w:color w:val="000000" w:themeColor="text1"/>
          <w:szCs w:val="22"/>
        </w:rPr>
        <w:t xml:space="preserve"> considered to be of possible concern by the Joint FAO/WHO Expert Committee on Food Additives. </w:t>
      </w:r>
      <w:r>
        <w:rPr>
          <w:rFonts w:cs="Arial"/>
          <w:color w:val="000000" w:themeColor="text1"/>
          <w:szCs w:val="22"/>
        </w:rPr>
        <w:t xml:space="preserve">FSANZ therefore considers it prudent for consumers to seek to reduce their exposure to acrylamide. </w:t>
      </w:r>
      <w:r w:rsidRPr="000A71CE">
        <w:rPr>
          <w:rFonts w:cs="Arial"/>
          <w:color w:val="000000" w:themeColor="text1"/>
          <w:szCs w:val="22"/>
        </w:rPr>
        <w:t xml:space="preserve">FSANZ published a </w:t>
      </w:r>
      <w:hyperlink r:id="rId23" w:history="1">
        <w:r w:rsidRPr="00EA0550">
          <w:rPr>
            <w:rStyle w:val="Hyperlink"/>
            <w:rFonts w:cs="Arial"/>
            <w:szCs w:val="22"/>
          </w:rPr>
          <w:t>web page on acrylamide</w:t>
        </w:r>
      </w:hyperlink>
      <w:r w:rsidR="0038635B">
        <w:rPr>
          <w:rStyle w:val="FootnoteReference"/>
          <w:rFonts w:cs="Arial"/>
          <w:color w:val="000000" w:themeColor="text1"/>
          <w:szCs w:val="22"/>
        </w:rPr>
        <w:footnoteReference w:id="10"/>
      </w:r>
      <w:r w:rsidRPr="000A71CE">
        <w:rPr>
          <w:rFonts w:cs="Arial"/>
          <w:color w:val="000000" w:themeColor="text1"/>
          <w:szCs w:val="22"/>
        </w:rPr>
        <w:t xml:space="preserve"> and food in April 2014</w:t>
      </w:r>
      <w:r>
        <w:rPr>
          <w:rFonts w:cs="Arial"/>
          <w:color w:val="000000" w:themeColor="text1"/>
          <w:szCs w:val="22"/>
        </w:rPr>
        <w:t xml:space="preserve"> stating these views.</w:t>
      </w:r>
      <w:r>
        <w:rPr>
          <w:szCs w:val="22"/>
          <w:lang w:eastAsia="en-AU"/>
        </w:rPr>
        <w:t xml:space="preserve"> </w:t>
      </w:r>
      <w:r>
        <w:rPr>
          <w:rFonts w:cs="Arial"/>
          <w:color w:val="000000" w:themeColor="text1"/>
          <w:szCs w:val="22"/>
        </w:rPr>
        <w:t xml:space="preserve">The web page </w:t>
      </w:r>
      <w:r w:rsidR="000A71CE" w:rsidRPr="000A71CE">
        <w:rPr>
          <w:rFonts w:cs="Arial"/>
          <w:color w:val="000000" w:themeColor="text1"/>
          <w:szCs w:val="22"/>
        </w:rPr>
        <w:t>includes recommendations for consumers on how to reduce acrylamide exposure</w:t>
      </w:r>
      <w:r w:rsidR="000956D3">
        <w:rPr>
          <w:rFonts w:cs="Arial"/>
          <w:color w:val="000000" w:themeColor="text1"/>
          <w:szCs w:val="22"/>
        </w:rPr>
        <w:t>,</w:t>
      </w:r>
      <w:r w:rsidR="000A71CE">
        <w:rPr>
          <w:rFonts w:cs="Arial"/>
          <w:color w:val="000000" w:themeColor="text1"/>
          <w:szCs w:val="22"/>
        </w:rPr>
        <w:t xml:space="preserve"> and </w:t>
      </w:r>
      <w:r>
        <w:rPr>
          <w:rFonts w:cs="Arial"/>
          <w:color w:val="000000" w:themeColor="text1"/>
          <w:szCs w:val="22"/>
        </w:rPr>
        <w:t xml:space="preserve">provides </w:t>
      </w:r>
      <w:r w:rsidR="000A71CE">
        <w:rPr>
          <w:rFonts w:cs="Arial"/>
          <w:color w:val="000000" w:themeColor="text1"/>
          <w:szCs w:val="22"/>
        </w:rPr>
        <w:t>links to other reputable information about acrylamide</w:t>
      </w:r>
      <w:r w:rsidR="000A71CE" w:rsidRPr="000A71CE">
        <w:rPr>
          <w:rFonts w:cs="Arial"/>
          <w:color w:val="000000" w:themeColor="text1"/>
          <w:szCs w:val="22"/>
        </w:rPr>
        <w:t xml:space="preserve">. </w:t>
      </w:r>
      <w:r w:rsidR="007C31FF">
        <w:rPr>
          <w:rFonts w:cs="Arial"/>
          <w:color w:val="000000" w:themeColor="text1"/>
          <w:szCs w:val="22"/>
        </w:rPr>
        <w:br w:type="page"/>
      </w:r>
    </w:p>
    <w:p w14:paraId="304F6CCE" w14:textId="4686B387" w:rsidR="00AE501E" w:rsidRDefault="00183B79" w:rsidP="001E642E">
      <w:pPr>
        <w:pStyle w:val="Heading4"/>
        <w:rPr>
          <w:lang w:eastAsia="en-AU"/>
        </w:rPr>
      </w:pPr>
      <w:r>
        <w:rPr>
          <w:lang w:eastAsia="en-AU"/>
        </w:rPr>
        <w:lastRenderedPageBreak/>
        <w:t>2.1.2.3</w:t>
      </w:r>
      <w:r w:rsidR="00AE501E">
        <w:rPr>
          <w:lang w:eastAsia="en-AU"/>
        </w:rPr>
        <w:tab/>
        <w:t>The Applicant has not provided the required molecular characterisation for E12 (GMFreeAA)</w:t>
      </w:r>
    </w:p>
    <w:p w14:paraId="14B5D9A3" w14:textId="4C9982B1" w:rsidR="00AE501E" w:rsidRDefault="001E642E" w:rsidP="00835CF8">
      <w:pPr>
        <w:rPr>
          <w:lang w:eastAsia="en-AU" w:bidi="ar-SA"/>
        </w:rPr>
      </w:pPr>
      <w:r>
        <w:rPr>
          <w:lang w:eastAsia="en-AU" w:bidi="ar-SA"/>
        </w:rPr>
        <w:t>As explained in the SD1</w:t>
      </w:r>
      <w:r w:rsidR="00942297">
        <w:rPr>
          <w:lang w:eastAsia="en-AU" w:bidi="ar-SA"/>
        </w:rPr>
        <w:t xml:space="preserve"> (section 3.4)</w:t>
      </w:r>
      <w:r>
        <w:rPr>
          <w:lang w:eastAsia="en-AU" w:bidi="ar-SA"/>
        </w:rPr>
        <w:t>, the nature of the potato genom</w:t>
      </w:r>
      <w:r w:rsidR="007249FF">
        <w:rPr>
          <w:lang w:eastAsia="en-AU" w:bidi="ar-SA"/>
        </w:rPr>
        <w:t>e and the fact that the</w:t>
      </w:r>
      <w:r>
        <w:rPr>
          <w:lang w:eastAsia="en-AU" w:bidi="ar-SA"/>
        </w:rPr>
        <w:t xml:space="preserve"> genetic material </w:t>
      </w:r>
      <w:r w:rsidR="007249FF">
        <w:rPr>
          <w:lang w:eastAsia="en-AU" w:bidi="ar-SA"/>
        </w:rPr>
        <w:t xml:space="preserve">intended for insertion </w:t>
      </w:r>
      <w:r>
        <w:rPr>
          <w:lang w:eastAsia="en-AU" w:bidi="ar-SA"/>
        </w:rPr>
        <w:t xml:space="preserve">is derived from the potato genome made it impossible to accurately sequence the DNA that was inserted. However, </w:t>
      </w:r>
      <w:r w:rsidR="00A1336A">
        <w:rPr>
          <w:lang w:eastAsia="en-AU" w:bidi="ar-SA"/>
        </w:rPr>
        <w:t xml:space="preserve">Southern blot analyses provided a weight of evidence conclusion that </w:t>
      </w:r>
      <w:r w:rsidR="007249FF">
        <w:rPr>
          <w:lang w:eastAsia="en-AU" w:bidi="ar-SA"/>
        </w:rPr>
        <w:t>the</w:t>
      </w:r>
      <w:r w:rsidR="00A1336A">
        <w:rPr>
          <w:lang w:eastAsia="en-AU" w:bidi="ar-SA"/>
        </w:rPr>
        <w:t xml:space="preserve"> DNA had been inserted at a single site and had the same sequence arrangement as the DNA in the vector plasmid, with the exception of the loss of base pairs from the right and left border sequences</w:t>
      </w:r>
      <w:r w:rsidR="007249FF">
        <w:rPr>
          <w:lang w:eastAsia="en-AU" w:bidi="ar-SA"/>
        </w:rPr>
        <w:t xml:space="preserve">. These border sequences are part of the genome of the </w:t>
      </w:r>
      <w:r w:rsidR="007249FF" w:rsidRPr="007249FF">
        <w:rPr>
          <w:i/>
          <w:lang w:eastAsia="en-AU" w:bidi="ar-SA"/>
        </w:rPr>
        <w:t>Agrobacterium tumefaciens</w:t>
      </w:r>
      <w:r w:rsidR="007249FF">
        <w:rPr>
          <w:lang w:eastAsia="en-AU" w:bidi="ar-SA"/>
        </w:rPr>
        <w:t xml:space="preserve"> used to transform the original potato line and are commonly truncated during the transformation process</w:t>
      </w:r>
      <w:r w:rsidR="00942297">
        <w:rPr>
          <w:lang w:eastAsia="en-AU" w:bidi="ar-SA"/>
        </w:rPr>
        <w:t xml:space="preserve"> </w:t>
      </w:r>
      <w:r w:rsidR="00942297" w:rsidRPr="001E1D0B">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aW1hcnk+PEtleXdvcmRzPmFncm9iYWN0ZXJpdW08L0tleXdvcmRzPjxLZXl3b3Jkcz5hbmFseXNp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</w:fldData>
        </w:fldChar>
      </w:r>
      <w:r w:rsidR="00A258B8">
        <w:rPr>
          <w:color w:val="000000" w:themeColor="text1"/>
        </w:rPr>
        <w:instrText xml:space="preserve"> ADDIN REFMGR.CITE </w:instrText>
      </w:r>
      <w:r w:rsidR="00A258B8">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aW1hcnk+PEtleXdvcmRzPmFncm9iYWN0ZXJpdW08L0tleXdvcmRzPjxLZXl3b3Jkcz5hbmFseXNp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</w:fldData>
        </w:fldChar>
      </w:r>
      <w:r w:rsidR="00A258B8">
        <w:rPr>
          <w:color w:val="000000" w:themeColor="text1"/>
        </w:rPr>
        <w:instrText xml:space="preserve"> ADDIN EN.CITE.DATA </w:instrText>
      </w:r>
      <w:r w:rsidR="00A258B8">
        <w:rPr>
          <w:color w:val="000000" w:themeColor="text1"/>
        </w:rPr>
      </w:r>
      <w:r w:rsidR="00A258B8">
        <w:rPr>
          <w:color w:val="000000" w:themeColor="text1"/>
        </w:rPr>
        <w:fldChar w:fldCharType="end"/>
      </w:r>
      <w:r w:rsidR="00942297" w:rsidRPr="001E1D0B">
        <w:rPr>
          <w:color w:val="000000" w:themeColor="text1"/>
        </w:rPr>
      </w:r>
      <w:r w:rsidR="00942297" w:rsidRPr="001E1D0B">
        <w:rPr>
          <w:color w:val="000000" w:themeColor="text1"/>
        </w:rPr>
        <w:fldChar w:fldCharType="separate"/>
      </w:r>
      <w:r w:rsidR="00942297" w:rsidRPr="001E1D0B">
        <w:rPr>
          <w:noProof/>
          <w:color w:val="000000" w:themeColor="text1"/>
        </w:rPr>
        <w:t>(Tzfira et al. 2004; Kim et al. 2007)</w:t>
      </w:r>
      <w:r w:rsidR="00942297" w:rsidRPr="001E1D0B">
        <w:rPr>
          <w:color w:val="000000" w:themeColor="text1"/>
        </w:rPr>
        <w:fldChar w:fldCharType="end"/>
      </w:r>
      <w:r w:rsidR="00942297" w:rsidRPr="001E1D0B">
        <w:rPr>
          <w:color w:val="000000" w:themeColor="text1"/>
        </w:rPr>
        <w:t>.</w:t>
      </w:r>
      <w:r w:rsidR="00A1336A">
        <w:rPr>
          <w:lang w:eastAsia="en-AU" w:bidi="ar-SA"/>
        </w:rPr>
        <w:t xml:space="preserve"> FSANZ experts considered all of the molecular evidence and were satisfied that the conclusion was justified.</w:t>
      </w:r>
    </w:p>
    <w:p w14:paraId="36677804" w14:textId="560C62A8" w:rsidR="0005678E" w:rsidRDefault="00183B79" w:rsidP="00871FBA">
      <w:pPr>
        <w:pStyle w:val="Heading4"/>
        <w:rPr>
          <w:lang w:eastAsia="en-AU"/>
        </w:rPr>
      </w:pPr>
      <w:r>
        <w:rPr>
          <w:lang w:eastAsia="en-AU"/>
        </w:rPr>
        <w:t>2.1.2.4</w:t>
      </w:r>
      <w:r w:rsidR="0005678E">
        <w:rPr>
          <w:lang w:eastAsia="en-AU"/>
        </w:rPr>
        <w:tab/>
        <w:t>In the Open Reading Frame analysis only matches with 30 or more amino acids were considered. This ignores the potential for new alle</w:t>
      </w:r>
      <w:r w:rsidR="00871FBA">
        <w:rPr>
          <w:lang w:eastAsia="en-AU"/>
        </w:rPr>
        <w:t>rgens and toxins being produced (GMFreeAA)</w:t>
      </w:r>
    </w:p>
    <w:p w14:paraId="54F384CE" w14:textId="50628814" w:rsidR="00871FBA" w:rsidRDefault="000956D3" w:rsidP="00835CF8">
      <w:pPr>
        <w:rPr>
          <w:lang w:eastAsia="en-AU" w:bidi="ar-SA"/>
        </w:rPr>
      </w:pPr>
      <w:r>
        <w:rPr>
          <w:lang w:eastAsia="en-AU" w:bidi="ar-SA"/>
        </w:rPr>
        <w:t>As discussed in s</w:t>
      </w:r>
      <w:r w:rsidR="0005678E">
        <w:rPr>
          <w:lang w:eastAsia="en-AU" w:bidi="ar-SA"/>
        </w:rPr>
        <w:t>ection 3.4.2 of the SD1</w:t>
      </w:r>
      <w:r w:rsidR="00871FBA">
        <w:rPr>
          <w:lang w:eastAsia="en-AU" w:bidi="ar-SA"/>
        </w:rPr>
        <w:t>:</w:t>
      </w:r>
    </w:p>
    <w:p w14:paraId="3561DB17" w14:textId="77777777" w:rsidR="00AF71F6" w:rsidRDefault="00AF71F6" w:rsidP="00835CF8">
      <w:pPr>
        <w:rPr>
          <w:lang w:eastAsia="en-AU" w:bidi="ar-SA"/>
        </w:rPr>
      </w:pPr>
    </w:p>
    <w:p w14:paraId="24F3E96E" w14:textId="0DAF1D0C" w:rsidR="0005678E" w:rsidRDefault="0005678E" w:rsidP="00A53299">
      <w:pPr>
        <w:pStyle w:val="FSBullet1"/>
      </w:pPr>
      <w:r>
        <w:rPr>
          <w:lang w:eastAsia="en-AU"/>
        </w:rPr>
        <w:t xml:space="preserve">with regard to </w:t>
      </w:r>
      <w:r w:rsidR="00871FBA">
        <w:rPr>
          <w:lang w:eastAsia="en-AU"/>
        </w:rPr>
        <w:t xml:space="preserve">the </w:t>
      </w:r>
      <w:r>
        <w:rPr>
          <w:lang w:eastAsia="en-AU"/>
        </w:rPr>
        <w:t xml:space="preserve">allergenicity </w:t>
      </w:r>
      <w:r w:rsidR="00871FBA" w:rsidRPr="00871FBA">
        <w:rPr>
          <w:i/>
          <w:lang w:eastAsia="en-AU"/>
        </w:rPr>
        <w:t>in silico</w:t>
      </w:r>
      <w:r w:rsidR="00871FBA">
        <w:rPr>
          <w:lang w:eastAsia="en-AU"/>
        </w:rPr>
        <w:t xml:space="preserve"> </w:t>
      </w:r>
      <w:r>
        <w:rPr>
          <w:lang w:eastAsia="en-AU"/>
        </w:rPr>
        <w:t>analysis</w:t>
      </w:r>
      <w:r w:rsidR="00871FBA">
        <w:rPr>
          <w:lang w:eastAsia="en-AU"/>
        </w:rPr>
        <w:t>,</w:t>
      </w:r>
      <w:r>
        <w:rPr>
          <w:lang w:eastAsia="en-AU"/>
        </w:rPr>
        <w:t xml:space="preserve"> “</w:t>
      </w:r>
      <w:r w:rsidRPr="00871FBA">
        <w:t xml:space="preserve">ORFs shorter than 29 amino acids were not evaluated since a minimum 35% identity requires at least a match of 29 amino acids over an 80 amino acid sequence. The 35% identity is a recommended criterion for indicating potential allergenicity </w:t>
      </w:r>
      <w:r w:rsidRPr="00871FBA">
        <w:fldChar w:fldCharType="begin"/>
      </w:r>
      <w:r w:rsidR="00A258B8">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edition&lt;/Title_Primary&gt;&lt;Authors_Primary&gt;Codex&lt;/Authors_Primary&gt;&lt;Date_Primary&gt;2009&lt;/Date_Primary&gt;&lt;Keywords&gt;Biotechnology&lt;/Keywords&gt;&lt;Keywords&gt;regulation&lt;/Keywords&gt;&lt;Reprint&gt;Not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871FBA">
        <w:fldChar w:fldCharType="separate"/>
      </w:r>
      <w:r w:rsidRPr="00871FBA">
        <w:rPr>
          <w:noProof/>
        </w:rPr>
        <w:t>(Codex 2009)</w:t>
      </w:r>
      <w:r w:rsidRPr="00871FBA">
        <w:fldChar w:fldCharType="end"/>
      </w:r>
      <w:r w:rsidRPr="00871FBA">
        <w:t>.”</w:t>
      </w:r>
    </w:p>
    <w:p w14:paraId="7DAE655B" w14:textId="77777777" w:rsidR="00AF71F6" w:rsidRPr="00A53299" w:rsidRDefault="00AF71F6"/>
    <w:p w14:paraId="28594953" w14:textId="1F38BD4E" w:rsidR="00871FBA" w:rsidRDefault="00871FBA">
      <w:pPr>
        <w:pStyle w:val="FSBullet1"/>
        <w:rPr>
          <w:lang w:eastAsia="en-AU"/>
        </w:rPr>
      </w:pPr>
      <w:r>
        <w:t xml:space="preserve">with regard to the toxicity </w:t>
      </w:r>
      <w:r w:rsidRPr="00871FBA">
        <w:rPr>
          <w:i/>
        </w:rPr>
        <w:t>in silico</w:t>
      </w:r>
      <w:r>
        <w:t xml:space="preserve"> analysis, there was no minimum amino acid length for consideration of matches and therefore all matches were considered.</w:t>
      </w:r>
    </w:p>
    <w:p w14:paraId="0714C886" w14:textId="265A4BB9" w:rsidR="00FC4C69" w:rsidRDefault="0005678E" w:rsidP="0005678E">
      <w:pPr>
        <w:pStyle w:val="Heading4"/>
        <w:rPr>
          <w:lang w:eastAsia="en-AU"/>
        </w:rPr>
      </w:pPr>
      <w:r>
        <w:rPr>
          <w:lang w:eastAsia="en-AU"/>
        </w:rPr>
        <w:t>2.1.2.</w:t>
      </w:r>
      <w:r w:rsidR="00183B79">
        <w:rPr>
          <w:lang w:eastAsia="en-AU"/>
        </w:rPr>
        <w:t>5</w:t>
      </w:r>
      <w:r w:rsidR="00FC4C69">
        <w:rPr>
          <w:lang w:eastAsia="en-AU"/>
        </w:rPr>
        <w:tab/>
      </w:r>
      <w:r w:rsidR="005222B8">
        <w:rPr>
          <w:lang w:eastAsia="en-AU"/>
        </w:rPr>
        <w:t xml:space="preserve">The way in which </w:t>
      </w:r>
      <w:r w:rsidR="00FC4C69">
        <w:rPr>
          <w:lang w:eastAsia="en-AU"/>
        </w:rPr>
        <w:t>t</w:t>
      </w:r>
      <w:r w:rsidR="005222B8">
        <w:rPr>
          <w:lang w:eastAsia="en-AU"/>
        </w:rPr>
        <w:t>h</w:t>
      </w:r>
      <w:r w:rsidR="00FC4C69">
        <w:rPr>
          <w:lang w:eastAsia="en-AU"/>
        </w:rPr>
        <w:t>e compositional analyses for E12</w:t>
      </w:r>
      <w:r w:rsidR="005222B8">
        <w:rPr>
          <w:lang w:eastAsia="en-AU"/>
        </w:rPr>
        <w:t xml:space="preserve"> were conducted is fraud not science because the control was not defined (GMFreeAA)</w:t>
      </w:r>
    </w:p>
    <w:p w14:paraId="5517F78B" w14:textId="31ADC129" w:rsidR="005222B8" w:rsidRDefault="000956D3" w:rsidP="00835CF8">
      <w:pPr>
        <w:rPr>
          <w:color w:val="000000" w:themeColor="text1"/>
        </w:rPr>
      </w:pPr>
      <w:r>
        <w:rPr>
          <w:lang w:eastAsia="en-AU" w:bidi="ar-SA"/>
        </w:rPr>
        <w:t>As stated in s</w:t>
      </w:r>
      <w:r w:rsidR="005222B8">
        <w:rPr>
          <w:lang w:eastAsia="en-AU" w:bidi="ar-SA"/>
        </w:rPr>
        <w:t xml:space="preserve">ection 5 of the SD1, </w:t>
      </w:r>
      <w:r w:rsidR="005222B8">
        <w:rPr>
          <w:color w:val="000000" w:themeColor="text1"/>
        </w:rPr>
        <w:t>t</w:t>
      </w:r>
      <w:r w:rsidR="005222B8" w:rsidRPr="00DD36BD">
        <w:rPr>
          <w:color w:val="000000" w:themeColor="text1"/>
        </w:rPr>
        <w:t xml:space="preserve">he </w:t>
      </w:r>
      <w:r w:rsidR="005222B8">
        <w:rPr>
          <w:color w:val="000000" w:themeColor="text1"/>
        </w:rPr>
        <w:t>single control comparator for all analyses</w:t>
      </w:r>
      <w:r w:rsidR="005222B8" w:rsidRPr="00DD36BD">
        <w:rPr>
          <w:color w:val="000000" w:themeColor="text1"/>
        </w:rPr>
        <w:t xml:space="preserve"> was the </w:t>
      </w:r>
      <w:r w:rsidR="005222B8">
        <w:rPr>
          <w:color w:val="000000" w:themeColor="text1"/>
        </w:rPr>
        <w:t xml:space="preserve">non-GM </w:t>
      </w:r>
      <w:r w:rsidR="005222B8" w:rsidRPr="00DD36BD">
        <w:rPr>
          <w:color w:val="000000" w:themeColor="text1"/>
        </w:rPr>
        <w:t xml:space="preserve">parental potato variety, Russet Burbank. </w:t>
      </w:r>
      <w:r w:rsidR="005222B8">
        <w:rPr>
          <w:color w:val="000000" w:themeColor="text1"/>
        </w:rPr>
        <w:t xml:space="preserve">In addition, as is standard practice, a number of commercial lines (known as reference lines) were also grown at each site and analyte levels measured in order </w:t>
      </w:r>
      <w:r w:rsidR="005222B8" w:rsidRPr="00DD36BD">
        <w:rPr>
          <w:color w:val="000000" w:themeColor="text1"/>
        </w:rPr>
        <w:t>to provide a range of values common to conventional potatoes</w:t>
      </w:r>
      <w:r w:rsidR="005222B8">
        <w:rPr>
          <w:color w:val="000000" w:themeColor="text1"/>
        </w:rPr>
        <w:t xml:space="preserve">. This range is important in allowing for an assessment of biological significance should any statistically significant differences between E12 and the control be noted for any analyte. </w:t>
      </w:r>
    </w:p>
    <w:p w14:paraId="3D5AD3AD" w14:textId="4AF4DBC8" w:rsidR="00183B79" w:rsidRPr="004003CB" w:rsidRDefault="00183B79" w:rsidP="00183B79">
      <w:pPr>
        <w:pStyle w:val="Heading4"/>
        <w:rPr>
          <w:lang w:eastAsia="en-AU"/>
        </w:rPr>
      </w:pPr>
      <w:r>
        <w:rPr>
          <w:lang w:eastAsia="en-AU"/>
        </w:rPr>
        <w:t>2.1.2.6</w:t>
      </w:r>
      <w:r w:rsidRPr="004003CB">
        <w:rPr>
          <w:lang w:eastAsia="en-AU"/>
        </w:rPr>
        <w:tab/>
      </w:r>
      <w:r>
        <w:rPr>
          <w:lang w:eastAsia="en-AU"/>
        </w:rPr>
        <w:t>There are i</w:t>
      </w:r>
      <w:r w:rsidRPr="004003CB">
        <w:rPr>
          <w:lang w:eastAsia="en-AU"/>
        </w:rPr>
        <w:t>nconsistencies in the language in the SD1 regarding the suppression of the PhL and R1 genes and in the claims made about the lowering of l</w:t>
      </w:r>
      <w:r>
        <w:rPr>
          <w:lang w:eastAsia="en-AU"/>
        </w:rPr>
        <w:t>evels of reducing sugars in E12 (Victorian Government</w:t>
      </w:r>
      <w:r w:rsidR="00E46E80">
        <w:rPr>
          <w:lang w:eastAsia="en-AU"/>
        </w:rPr>
        <w:t xml:space="preserve"> Departments of Health &amp; Human Services, and Economic Development, Jobs, Transport &amp; Resources</w:t>
      </w:r>
      <w:r>
        <w:rPr>
          <w:lang w:eastAsia="en-AU"/>
        </w:rPr>
        <w:t>)</w:t>
      </w:r>
    </w:p>
    <w:p w14:paraId="78BC7BFD" w14:textId="73DF6F6D" w:rsidR="00771228" w:rsidRDefault="00183B79" w:rsidP="007C31FF">
      <w:pPr>
        <w:ind w:right="-286"/>
        <w:rPr>
          <w:b/>
          <w:bCs/>
          <w:i/>
          <w:iCs/>
          <w:szCs w:val="22"/>
          <w:lang w:eastAsia="en-AU" w:bidi="ar-SA"/>
        </w:rPr>
      </w:pPr>
      <w:r>
        <w:rPr>
          <w:lang w:eastAsia="en-AU" w:bidi="ar-SA"/>
        </w:rPr>
        <w:t xml:space="preserve">FSANZ has altered the SD1 to </w:t>
      </w:r>
      <w:r w:rsidR="00A45047">
        <w:rPr>
          <w:lang w:eastAsia="en-AU" w:bidi="ar-SA"/>
        </w:rPr>
        <w:t>address this concern</w:t>
      </w:r>
      <w:r>
        <w:rPr>
          <w:lang w:eastAsia="en-AU" w:bidi="ar-SA"/>
        </w:rPr>
        <w:t xml:space="preserve">. These alterations have no impact on the conclusion of the safety assessment that </w:t>
      </w:r>
      <w:r w:rsidRPr="00C80AF9">
        <w:rPr>
          <w:rFonts w:cs="Arial"/>
          <w:color w:val="000000" w:themeColor="text1"/>
          <w:szCs w:val="22"/>
        </w:rPr>
        <w:t xml:space="preserve">food derived from </w:t>
      </w:r>
      <w:r>
        <w:rPr>
          <w:rFonts w:cs="Arial"/>
          <w:color w:val="000000" w:themeColor="text1"/>
          <w:szCs w:val="22"/>
        </w:rPr>
        <w:t>E12</w:t>
      </w:r>
      <w:r w:rsidRPr="00C80AF9">
        <w:rPr>
          <w:rFonts w:cs="Arial"/>
          <w:color w:val="000000" w:themeColor="text1"/>
          <w:szCs w:val="22"/>
        </w:rPr>
        <w:t xml:space="preserve"> is considered to be as safe for human consumption as food derived fr</w:t>
      </w:r>
      <w:r>
        <w:rPr>
          <w:rFonts w:cs="Arial"/>
          <w:color w:val="000000" w:themeColor="text1"/>
          <w:szCs w:val="22"/>
        </w:rPr>
        <w:t>om conventional potato</w:t>
      </w:r>
      <w:r w:rsidRPr="00C80AF9">
        <w:rPr>
          <w:rFonts w:cs="Arial"/>
          <w:color w:val="000000" w:themeColor="text1"/>
          <w:szCs w:val="22"/>
        </w:rPr>
        <w:t xml:space="preserve"> varieties</w:t>
      </w:r>
      <w:r>
        <w:rPr>
          <w:rFonts w:cs="Arial"/>
          <w:color w:val="000000" w:themeColor="text1"/>
          <w:szCs w:val="22"/>
        </w:rPr>
        <w:t>. Neither is there</w:t>
      </w:r>
      <w:r>
        <w:rPr>
          <w:lang w:eastAsia="en-AU" w:bidi="ar-SA"/>
        </w:rPr>
        <w:t xml:space="preserve"> any impact on the conclusion about the overall phenotypic traits (lower acrylamide potential and lower bruising potential) conferred on E12 as a result of the genetic modification.</w:t>
      </w:r>
    </w:p>
    <w:p w14:paraId="2670DE61" w14:textId="17C85800" w:rsidR="00540BD0" w:rsidRDefault="00FC4C69" w:rsidP="00A5252D">
      <w:pPr>
        <w:pStyle w:val="Heading4"/>
        <w:rPr>
          <w:lang w:eastAsia="en-AU"/>
        </w:rPr>
      </w:pPr>
      <w:r>
        <w:rPr>
          <w:lang w:eastAsia="en-AU"/>
        </w:rPr>
        <w:t>2.1.2.</w:t>
      </w:r>
      <w:r w:rsidR="0005678E">
        <w:rPr>
          <w:lang w:eastAsia="en-AU"/>
        </w:rPr>
        <w:t>7</w:t>
      </w:r>
      <w:r w:rsidR="00540BD0">
        <w:rPr>
          <w:lang w:eastAsia="en-AU"/>
        </w:rPr>
        <w:tab/>
        <w:t>A modification to the legal drafting for E12 is suggested</w:t>
      </w:r>
      <w:r>
        <w:rPr>
          <w:lang w:eastAsia="en-AU"/>
        </w:rPr>
        <w:t xml:space="preserve"> (NZ MPI)</w:t>
      </w:r>
    </w:p>
    <w:p w14:paraId="55E1A970" w14:textId="77777777" w:rsidR="007C31FF" w:rsidRDefault="00540BD0" w:rsidP="00835CF8">
      <w:pPr>
        <w:rPr>
          <w:lang w:eastAsia="en-AU" w:bidi="ar-SA"/>
        </w:rPr>
      </w:pPr>
      <w:r>
        <w:rPr>
          <w:lang w:eastAsia="en-AU" w:bidi="ar-SA"/>
        </w:rPr>
        <w:t xml:space="preserve">New Zealand Ministry for Primary Industries suggested the proposed descriptor for E12 in the Column 2 entry of Schedule 26 entry </w:t>
      </w:r>
      <w:r w:rsidR="00A5252D">
        <w:rPr>
          <w:lang w:eastAsia="en-AU" w:bidi="ar-SA"/>
        </w:rPr>
        <w:t>(</w:t>
      </w:r>
      <w:r w:rsidR="00A5252D" w:rsidRPr="00A5252D">
        <w:rPr>
          <w:i/>
          <w:lang w:eastAsia="en-AU" w:bidi="ar-SA"/>
        </w:rPr>
        <w:t>Reduced acrylamide potential and reduced browning potato line E12</w:t>
      </w:r>
      <w:r w:rsidR="00A5252D">
        <w:rPr>
          <w:lang w:eastAsia="en-AU" w:bidi="ar-SA"/>
        </w:rPr>
        <w:t xml:space="preserve">) </w:t>
      </w:r>
      <w:r>
        <w:rPr>
          <w:lang w:eastAsia="en-AU" w:bidi="ar-SA"/>
        </w:rPr>
        <w:t xml:space="preserve">could be modified to improve clarity. </w:t>
      </w:r>
      <w:r w:rsidR="007C31FF">
        <w:rPr>
          <w:lang w:eastAsia="en-AU" w:bidi="ar-SA"/>
        </w:rPr>
        <w:br w:type="page"/>
      </w:r>
    </w:p>
    <w:p w14:paraId="19D4EFC0" w14:textId="0C95476C" w:rsidR="00540BD0" w:rsidRDefault="00540BD0" w:rsidP="00835CF8">
      <w:pPr>
        <w:rPr>
          <w:lang w:eastAsia="en-AU" w:bidi="ar-SA"/>
        </w:rPr>
      </w:pPr>
      <w:r>
        <w:rPr>
          <w:lang w:eastAsia="en-AU" w:bidi="ar-SA"/>
        </w:rPr>
        <w:lastRenderedPageBreak/>
        <w:t>The suggested change</w:t>
      </w:r>
      <w:r w:rsidR="00A5252D">
        <w:rPr>
          <w:lang w:eastAsia="en-AU" w:bidi="ar-SA"/>
        </w:rPr>
        <w:t xml:space="preserve"> was </w:t>
      </w:r>
      <w:r w:rsidR="00A5252D" w:rsidRPr="00A5252D">
        <w:rPr>
          <w:i/>
          <w:lang w:eastAsia="en-AU" w:bidi="ar-SA"/>
        </w:rPr>
        <w:t>Reduced potential acrylamide formation and reduced enzymatic browning potato line E12</w:t>
      </w:r>
      <w:r w:rsidR="00A5252D">
        <w:rPr>
          <w:lang w:eastAsia="en-AU" w:bidi="ar-SA"/>
        </w:rPr>
        <w:t>.</w:t>
      </w:r>
    </w:p>
    <w:p w14:paraId="29035599" w14:textId="77777777" w:rsidR="00A5252D" w:rsidRDefault="00A5252D" w:rsidP="00835CF8">
      <w:pPr>
        <w:rPr>
          <w:lang w:eastAsia="en-AU" w:bidi="ar-SA"/>
        </w:rPr>
      </w:pPr>
    </w:p>
    <w:p w14:paraId="6A3B3F1D" w14:textId="65AE4B48" w:rsidR="00A5252D" w:rsidRPr="00835CF8" w:rsidRDefault="00A5252D" w:rsidP="00835CF8">
      <w:pPr>
        <w:rPr>
          <w:lang w:eastAsia="en-AU" w:bidi="ar-SA"/>
        </w:rPr>
      </w:pPr>
      <w:r>
        <w:rPr>
          <w:lang w:eastAsia="en-AU" w:bidi="ar-SA"/>
        </w:rPr>
        <w:t xml:space="preserve">The </w:t>
      </w:r>
      <w:r w:rsidR="00A45047">
        <w:rPr>
          <w:lang w:eastAsia="en-AU" w:bidi="ar-SA"/>
        </w:rPr>
        <w:t xml:space="preserve">purpose </w:t>
      </w:r>
      <w:r>
        <w:rPr>
          <w:lang w:eastAsia="en-AU" w:bidi="ar-SA"/>
        </w:rPr>
        <w:t xml:space="preserve">of the descriptor wording </w:t>
      </w:r>
      <w:r w:rsidR="00917B65">
        <w:rPr>
          <w:lang w:eastAsia="en-AU" w:bidi="ar-SA"/>
        </w:rPr>
        <w:t xml:space="preserve">used in Schedule 26 </w:t>
      </w:r>
      <w:r>
        <w:rPr>
          <w:lang w:eastAsia="en-AU" w:bidi="ar-SA"/>
        </w:rPr>
        <w:t xml:space="preserve">is to provide a high level indication of the type of trait(s) that has been imparted and a precise indication of the crop and line that has been modified – the latter being the most </w:t>
      </w:r>
      <w:r w:rsidR="00B826EF">
        <w:rPr>
          <w:lang w:eastAsia="en-AU" w:bidi="ar-SA"/>
        </w:rPr>
        <w:t xml:space="preserve">important </w:t>
      </w:r>
      <w:r>
        <w:rPr>
          <w:lang w:eastAsia="en-AU" w:bidi="ar-SA"/>
        </w:rPr>
        <w:t xml:space="preserve">in terms of the </w:t>
      </w:r>
      <w:r w:rsidR="00A45047">
        <w:rPr>
          <w:lang w:eastAsia="en-AU" w:bidi="ar-SA"/>
        </w:rPr>
        <w:t>permission provided</w:t>
      </w:r>
      <w:r>
        <w:rPr>
          <w:lang w:eastAsia="en-AU" w:bidi="ar-SA"/>
        </w:rPr>
        <w:t xml:space="preserve"> </w:t>
      </w:r>
      <w:r w:rsidR="00A45047">
        <w:rPr>
          <w:lang w:eastAsia="en-AU" w:bidi="ar-SA"/>
        </w:rPr>
        <w:t xml:space="preserve">by </w:t>
      </w:r>
      <w:r>
        <w:rPr>
          <w:lang w:eastAsia="en-AU" w:bidi="ar-SA"/>
        </w:rPr>
        <w:t xml:space="preserve">Schedule 26. </w:t>
      </w:r>
      <w:r w:rsidR="006A12B8">
        <w:rPr>
          <w:lang w:eastAsia="en-AU" w:bidi="ar-SA"/>
        </w:rPr>
        <w:t xml:space="preserve">FSANZ is satisfied that the descriptor used </w:t>
      </w:r>
      <w:r w:rsidR="00A45047">
        <w:rPr>
          <w:lang w:eastAsia="en-AU" w:bidi="ar-SA"/>
        </w:rPr>
        <w:t xml:space="preserve">in this case </w:t>
      </w:r>
      <w:r w:rsidR="006A12B8">
        <w:rPr>
          <w:lang w:eastAsia="en-AU" w:bidi="ar-SA"/>
        </w:rPr>
        <w:t xml:space="preserve">is </w:t>
      </w:r>
      <w:r w:rsidR="00B826EF">
        <w:rPr>
          <w:lang w:eastAsia="en-AU" w:bidi="ar-SA"/>
        </w:rPr>
        <w:t xml:space="preserve">appropriate, is </w:t>
      </w:r>
      <w:r w:rsidR="00A45047">
        <w:rPr>
          <w:lang w:eastAsia="en-AU" w:bidi="ar-SA"/>
        </w:rPr>
        <w:t xml:space="preserve">consistent with </w:t>
      </w:r>
      <w:r w:rsidR="00B826EF">
        <w:rPr>
          <w:lang w:eastAsia="en-AU" w:bidi="ar-SA"/>
        </w:rPr>
        <w:t>other</w:t>
      </w:r>
      <w:r w:rsidR="00A45047">
        <w:rPr>
          <w:lang w:eastAsia="en-AU" w:bidi="ar-SA"/>
        </w:rPr>
        <w:t xml:space="preserve"> permissions in Schedule 26 and is </w:t>
      </w:r>
      <w:r w:rsidR="00B826EF">
        <w:rPr>
          <w:lang w:eastAsia="en-AU" w:bidi="ar-SA"/>
        </w:rPr>
        <w:t>sufficiently clear</w:t>
      </w:r>
      <w:r w:rsidR="0067068E">
        <w:rPr>
          <w:lang w:eastAsia="en-AU" w:bidi="ar-SA"/>
        </w:rPr>
        <w:t>.</w:t>
      </w:r>
      <w:r w:rsidR="00A45047">
        <w:rPr>
          <w:lang w:eastAsia="en-AU" w:bidi="ar-SA"/>
        </w:rPr>
        <w:t xml:space="preserve"> </w:t>
      </w:r>
    </w:p>
    <w:p w14:paraId="4BFE4971" w14:textId="0A91DBF6" w:rsidR="002C1A3B" w:rsidRPr="00756A52" w:rsidRDefault="002C1A3B" w:rsidP="002C1A3B">
      <w:pPr>
        <w:pStyle w:val="Heading2"/>
      </w:pPr>
      <w:bookmarkStart w:id="59" w:name="_Toc463450495"/>
      <w:r w:rsidRPr="00756A52">
        <w:t>2.2</w:t>
      </w:r>
      <w:r w:rsidRPr="00756A52">
        <w:tab/>
      </w:r>
      <w:r w:rsidR="00BD2F6D" w:rsidRPr="00756A52">
        <w:t>Safety</w:t>
      </w:r>
      <w:r w:rsidRPr="00756A52">
        <w:t xml:space="preserve"> assessment</w:t>
      </w:r>
      <w:bookmarkEnd w:id="54"/>
      <w:bookmarkEnd w:id="55"/>
      <w:bookmarkEnd w:id="59"/>
      <w:r w:rsidRPr="00756A52">
        <w:t xml:space="preserve"> </w:t>
      </w:r>
    </w:p>
    <w:p w14:paraId="0237547B" w14:textId="77777777" w:rsidR="00C75FD6" w:rsidRPr="00107E06" w:rsidRDefault="00C75FD6" w:rsidP="00C75FD6">
      <w:pPr>
        <w:rPr>
          <w:color w:val="000000" w:themeColor="text1"/>
        </w:rPr>
      </w:pPr>
      <w:bookmarkStart w:id="60" w:name="_Toc370223473"/>
      <w:bookmarkStart w:id="61" w:name="_Toc370225388"/>
      <w:bookmarkStart w:id="62" w:name="_Toc175381450"/>
      <w:bookmarkEnd w:id="56"/>
      <w:bookmarkEnd w:id="57"/>
      <w:r w:rsidRPr="00107E06">
        <w:rPr>
          <w:color w:val="000000" w:themeColor="text1"/>
        </w:rPr>
        <w:t xml:space="preserve">The safety assessment of E12 is provided in the supporting document (SD1) and included the following key elements: </w:t>
      </w:r>
    </w:p>
    <w:p w14:paraId="1FB09813" w14:textId="77777777" w:rsidR="00C75FD6" w:rsidRPr="00107E06" w:rsidRDefault="00C75FD6" w:rsidP="00C75FD6">
      <w:pPr>
        <w:rPr>
          <w:color w:val="000000" w:themeColor="text1"/>
        </w:rPr>
      </w:pPr>
    </w:p>
    <w:p w14:paraId="54C6DCE2" w14:textId="77777777" w:rsidR="00C75FD6" w:rsidRPr="00107E06" w:rsidRDefault="00C75FD6" w:rsidP="00C75FD6">
      <w:pPr>
        <w:pStyle w:val="FSBullet1"/>
        <w:numPr>
          <w:ilvl w:val="0"/>
          <w:numId w:val="5"/>
        </w:numPr>
        <w:ind w:left="567" w:hanging="567"/>
        <w:rPr>
          <w:color w:val="000000" w:themeColor="text1"/>
        </w:rPr>
      </w:pPr>
      <w:r w:rsidRPr="00107E06">
        <w:rPr>
          <w:color w:val="000000" w:themeColor="text1"/>
        </w:rPr>
        <w:t>a characterisation of the transferred genetic material, its origin, function and stability in the potato genome</w:t>
      </w:r>
    </w:p>
    <w:p w14:paraId="6C149B9F" w14:textId="77777777" w:rsidR="00C75FD6" w:rsidRPr="00107E06" w:rsidRDefault="00C75FD6" w:rsidP="00C75FD6">
      <w:pPr>
        <w:pStyle w:val="FSBullet1"/>
        <w:numPr>
          <w:ilvl w:val="0"/>
          <w:numId w:val="5"/>
        </w:numPr>
        <w:ind w:left="567" w:hanging="567"/>
        <w:rPr>
          <w:color w:val="000000" w:themeColor="text1"/>
        </w:rPr>
      </w:pPr>
      <w:r w:rsidRPr="00107E06">
        <w:rPr>
          <w:color w:val="000000" w:themeColor="text1"/>
        </w:rPr>
        <w:t>the c</w:t>
      </w:r>
      <w:r>
        <w:rPr>
          <w:color w:val="000000" w:themeColor="text1"/>
        </w:rPr>
        <w:t>hanges at the level of DNA and RNA</w:t>
      </w:r>
      <w:r w:rsidRPr="00107E06">
        <w:rPr>
          <w:color w:val="000000" w:themeColor="text1"/>
        </w:rPr>
        <w:t xml:space="preserve"> in the whole food</w:t>
      </w:r>
    </w:p>
    <w:p w14:paraId="6DA31493" w14:textId="77777777" w:rsidR="00C75FD6" w:rsidRPr="00107E06" w:rsidRDefault="00C75FD6" w:rsidP="00C75FD6">
      <w:pPr>
        <w:pStyle w:val="FSBullet1"/>
        <w:numPr>
          <w:ilvl w:val="0"/>
          <w:numId w:val="5"/>
        </w:numPr>
        <w:ind w:left="567" w:hanging="567"/>
        <w:rPr>
          <w:color w:val="000000" w:themeColor="text1"/>
        </w:rPr>
      </w:pPr>
      <w:r w:rsidRPr="00107E06">
        <w:rPr>
          <w:color w:val="000000" w:themeColor="text1"/>
        </w:rPr>
        <w:t>detailed compositional analyses</w:t>
      </w:r>
    </w:p>
    <w:p w14:paraId="2459484F" w14:textId="77777777" w:rsidR="00C75FD6" w:rsidRPr="00107E06" w:rsidRDefault="00C75FD6" w:rsidP="00C75FD6">
      <w:pPr>
        <w:pStyle w:val="FSBullet1"/>
        <w:numPr>
          <w:ilvl w:val="0"/>
          <w:numId w:val="5"/>
        </w:numPr>
        <w:ind w:left="567" w:hanging="567"/>
        <w:rPr>
          <w:color w:val="000000" w:themeColor="text1"/>
        </w:rPr>
      </w:pPr>
      <w:r w:rsidRPr="00107E06">
        <w:rPr>
          <w:color w:val="000000" w:themeColor="text1"/>
        </w:rPr>
        <w:t>evaluation of intended and unintended changes.</w:t>
      </w:r>
    </w:p>
    <w:p w14:paraId="1037D0C0" w14:textId="77777777" w:rsidR="00C75FD6" w:rsidRPr="00107E06" w:rsidRDefault="00C75FD6" w:rsidP="00C75FD6">
      <w:pPr>
        <w:rPr>
          <w:color w:val="000000" w:themeColor="text1"/>
        </w:rPr>
      </w:pPr>
    </w:p>
    <w:p w14:paraId="48500541" w14:textId="4C10F301" w:rsidR="00C75FD6" w:rsidRPr="00107E06" w:rsidRDefault="00C75FD6" w:rsidP="00C75FD6">
      <w:pPr>
        <w:rPr>
          <w:color w:val="000000" w:themeColor="text1"/>
        </w:rPr>
      </w:pPr>
      <w:r w:rsidRPr="00107E06">
        <w:rPr>
          <w:color w:val="000000" w:themeColor="text1"/>
        </w:rPr>
        <w:t>The asse</w:t>
      </w:r>
      <w:r>
        <w:rPr>
          <w:color w:val="000000" w:themeColor="text1"/>
        </w:rPr>
        <w:t xml:space="preserve">ssment of </w:t>
      </w:r>
      <w:r w:rsidRPr="00107E06">
        <w:rPr>
          <w:color w:val="000000" w:themeColor="text1"/>
        </w:rPr>
        <w:t>E12 was restricted to human food safety and nutritional issues. This assessment therefore does not address any risks to the environment that may occur as the result of growing GM plants used in food production, or any risks to animals that may consu</w:t>
      </w:r>
      <w:r w:rsidR="00183B79">
        <w:rPr>
          <w:color w:val="000000" w:themeColor="text1"/>
        </w:rPr>
        <w:t>me feed derived from GM plants.</w:t>
      </w:r>
      <w:r w:rsidR="006A12B8">
        <w:rPr>
          <w:color w:val="000000" w:themeColor="text1"/>
        </w:rPr>
        <w:t xml:space="preserve"> These </w:t>
      </w:r>
      <w:r w:rsidR="000928B8">
        <w:rPr>
          <w:color w:val="000000" w:themeColor="text1"/>
        </w:rPr>
        <w:t>matters are addressed by others</w:t>
      </w:r>
      <w:r w:rsidR="006A12B8">
        <w:rPr>
          <w:color w:val="000000" w:themeColor="text1"/>
        </w:rPr>
        <w:t>– see section 2.5.1.4.</w:t>
      </w:r>
    </w:p>
    <w:p w14:paraId="40E66E99" w14:textId="77777777" w:rsidR="00C75FD6" w:rsidRPr="00107E06" w:rsidRDefault="00C75FD6" w:rsidP="00C75FD6">
      <w:pPr>
        <w:rPr>
          <w:color w:val="000000" w:themeColor="text1"/>
        </w:rPr>
      </w:pPr>
    </w:p>
    <w:p w14:paraId="632DB135" w14:textId="1A541CCA" w:rsidR="00C75FD6" w:rsidRPr="00107E06" w:rsidRDefault="004C6C70" w:rsidP="00C75FD6">
      <w:pPr>
        <w:rPr>
          <w:color w:val="000000" w:themeColor="text1"/>
        </w:rPr>
      </w:pPr>
      <w:r>
        <w:rPr>
          <w:color w:val="000000" w:themeColor="text1"/>
        </w:rPr>
        <w:t xml:space="preserve">Inconsistencies </w:t>
      </w:r>
      <w:r w:rsidR="003C2E34">
        <w:rPr>
          <w:color w:val="000000" w:themeColor="text1"/>
        </w:rPr>
        <w:t xml:space="preserve">in language describing the trait </w:t>
      </w:r>
      <w:r w:rsidR="00240E94">
        <w:rPr>
          <w:color w:val="000000" w:themeColor="text1"/>
        </w:rPr>
        <w:t>(see 2.1.2.6</w:t>
      </w:r>
      <w:r>
        <w:rPr>
          <w:color w:val="000000" w:themeColor="text1"/>
        </w:rPr>
        <w:t xml:space="preserve"> above) in the SD1 released with the call for submissions have been corrected. </w:t>
      </w:r>
      <w:r w:rsidR="00C75FD6" w:rsidRPr="00107E06">
        <w:rPr>
          <w:color w:val="000000" w:themeColor="text1"/>
        </w:rPr>
        <w:t xml:space="preserve">No potential public health and safety concerns have been identified. </w:t>
      </w:r>
    </w:p>
    <w:p w14:paraId="6AF41EFC" w14:textId="77777777" w:rsidR="00C75FD6" w:rsidRPr="00107E06" w:rsidRDefault="00C75FD6" w:rsidP="00C75FD6">
      <w:pPr>
        <w:rPr>
          <w:color w:val="000000" w:themeColor="text1"/>
        </w:rPr>
      </w:pPr>
    </w:p>
    <w:p w14:paraId="3255967E" w14:textId="6ED3F0B1" w:rsidR="00C75FD6" w:rsidRPr="00107E06" w:rsidRDefault="00C75FD6" w:rsidP="00C75FD6">
      <w:pPr>
        <w:rPr>
          <w:color w:val="000000" w:themeColor="text1"/>
        </w:rPr>
      </w:pPr>
      <w:r w:rsidRPr="00107E06">
        <w:rPr>
          <w:color w:val="000000" w:themeColor="text1"/>
        </w:rPr>
        <w:t>Based on the data provided in the Application, and other available information</w:t>
      </w:r>
      <w:r w:rsidR="00F6217E">
        <w:rPr>
          <w:color w:val="000000" w:themeColor="text1"/>
        </w:rPr>
        <w:t xml:space="preserve">, food derived from </w:t>
      </w:r>
      <w:r w:rsidRPr="00107E06">
        <w:rPr>
          <w:color w:val="000000" w:themeColor="text1"/>
        </w:rPr>
        <w:t>E12 is considered to be as safe for human consumption as food derived from conventional potato cultivars.</w:t>
      </w:r>
    </w:p>
    <w:p w14:paraId="74025BB1" w14:textId="318A0447" w:rsidR="002C1A3B" w:rsidRPr="00756A52" w:rsidRDefault="002C1A3B" w:rsidP="00152919">
      <w:pPr>
        <w:pStyle w:val="Heading2"/>
      </w:pPr>
      <w:bookmarkStart w:id="63" w:name="_Toc463450496"/>
      <w:r w:rsidRPr="00756A52">
        <w:t>2.3</w:t>
      </w:r>
      <w:r w:rsidRPr="00756A52">
        <w:tab/>
        <w:t>Risk management</w:t>
      </w:r>
      <w:bookmarkEnd w:id="60"/>
      <w:bookmarkEnd w:id="61"/>
      <w:bookmarkEnd w:id="63"/>
    </w:p>
    <w:p w14:paraId="1984998D" w14:textId="77777777" w:rsidR="00BD2F6D" w:rsidRDefault="00BD2F6D" w:rsidP="00BD2F6D">
      <w:pPr>
        <w:pStyle w:val="Heading3"/>
      </w:pPr>
      <w:bookmarkStart w:id="64" w:name="_Toc417995894"/>
      <w:bookmarkStart w:id="65" w:name="_Toc420934018"/>
      <w:bookmarkStart w:id="66" w:name="_Toc463450497"/>
      <w:bookmarkStart w:id="67" w:name="_Toc309291814"/>
      <w:bookmarkStart w:id="68" w:name="_Toc370225389"/>
      <w:bookmarkStart w:id="69" w:name="_Toc286391012"/>
      <w:bookmarkEnd w:id="62"/>
      <w:r w:rsidRPr="00756A52">
        <w:t>2.3.1</w:t>
      </w:r>
      <w:r w:rsidRPr="00756A52">
        <w:tab/>
        <w:t>Labelling</w:t>
      </w:r>
      <w:bookmarkEnd w:id="64"/>
      <w:bookmarkEnd w:id="65"/>
      <w:bookmarkEnd w:id="66"/>
    </w:p>
    <w:p w14:paraId="065C2A6F" w14:textId="64DDFD02" w:rsidR="00B3036A" w:rsidRDefault="00C75FD6" w:rsidP="00FC1C9A">
      <w:pPr>
        <w:pStyle w:val="ListParagraph"/>
        <w:spacing w:after="120"/>
        <w:ind w:left="0"/>
        <w:contextualSpacing w:val="0"/>
        <w:rPr>
          <w:rFonts w:cs="Arial"/>
        </w:rPr>
      </w:pPr>
      <w:bookmarkStart w:id="70" w:name="_Toc417995895"/>
      <w:bookmarkStart w:id="71" w:name="_Toc420934019"/>
      <w:r w:rsidRPr="0072095E">
        <w:rPr>
          <w:color w:val="000000" w:themeColor="text1"/>
        </w:rPr>
        <w:t xml:space="preserve">In accordance with the labelling provisions in Standard 1.5.2 (see section 1.3 of this Report), food derived from E12 would be required to be labelled as ‘genetically modified’ if it contains novel DNA or novel protein. </w:t>
      </w:r>
      <w:r>
        <w:rPr>
          <w:color w:val="000000" w:themeColor="text1"/>
        </w:rPr>
        <w:t>FSANZ is not proposing to list f</w:t>
      </w:r>
      <w:r w:rsidRPr="0072095E">
        <w:rPr>
          <w:color w:val="000000" w:themeColor="text1"/>
        </w:rPr>
        <w:t>ood derived from E12 in subsections S26—3(2) and (3) of Schedule 26 as</w:t>
      </w:r>
      <w:r>
        <w:rPr>
          <w:color w:val="000000" w:themeColor="text1"/>
        </w:rPr>
        <w:t xml:space="preserve"> the compositional analyses indicate</w:t>
      </w:r>
      <w:r w:rsidRPr="0072095E">
        <w:rPr>
          <w:color w:val="000000" w:themeColor="text1"/>
        </w:rPr>
        <w:t xml:space="preserve"> the raw agricultural product does not have an altered characteristic when compared to the existing counterpart food that is not produ</w:t>
      </w:r>
      <w:r w:rsidR="000956D3">
        <w:rPr>
          <w:color w:val="000000" w:themeColor="text1"/>
        </w:rPr>
        <w:t>ced using gene technology (see s</w:t>
      </w:r>
      <w:r w:rsidRPr="0072095E">
        <w:rPr>
          <w:color w:val="000000" w:themeColor="text1"/>
        </w:rPr>
        <w:t>ection 5 of the SD1).</w:t>
      </w:r>
      <w:r w:rsidR="00B3036A">
        <w:rPr>
          <w:color w:val="000000" w:themeColor="text1"/>
        </w:rPr>
        <w:t xml:space="preserve"> </w:t>
      </w:r>
      <w:r w:rsidR="00B3036A">
        <w:rPr>
          <w:rFonts w:cs="Arial"/>
        </w:rPr>
        <w:t>While the level of asparagine was significantly lower than in the non-GM parent (which is widely used for frying)</w:t>
      </w:r>
      <w:r w:rsidR="003C1183">
        <w:rPr>
          <w:rFonts w:cs="Arial"/>
        </w:rPr>
        <w:t>,</w:t>
      </w:r>
      <w:r w:rsidR="00B3036A">
        <w:rPr>
          <w:rFonts w:cs="Arial"/>
        </w:rPr>
        <w:t xml:space="preserve"> the level was well within the range normally found across potato varieties in general.</w:t>
      </w:r>
    </w:p>
    <w:p w14:paraId="0BBAE576" w14:textId="77777777" w:rsidR="00C75FD6" w:rsidRPr="0072095E" w:rsidRDefault="00C75FD6" w:rsidP="00FC1C9A">
      <w:pPr>
        <w:rPr>
          <w:color w:val="000000" w:themeColor="text1"/>
        </w:rPr>
      </w:pPr>
    </w:p>
    <w:p w14:paraId="4CCD3B4A" w14:textId="77777777" w:rsidR="007C31FF" w:rsidRDefault="00C75FD6" w:rsidP="00C75FD6">
      <w:pPr>
        <w:rPr>
          <w:color w:val="000000" w:themeColor="text1"/>
        </w:rPr>
      </w:pPr>
      <w:r w:rsidRPr="0072095E">
        <w:rPr>
          <w:color w:val="000000" w:themeColor="text1"/>
        </w:rPr>
        <w:t xml:space="preserve">The genetic modification was </w:t>
      </w:r>
      <w:r>
        <w:rPr>
          <w:color w:val="000000" w:themeColor="text1"/>
        </w:rPr>
        <w:t xml:space="preserve">made </w:t>
      </w:r>
      <w:r w:rsidRPr="0072095E">
        <w:rPr>
          <w:color w:val="000000" w:themeColor="text1"/>
        </w:rPr>
        <w:t xml:space="preserve">to reduce the expression of four endogenous potato genes; no new proteins were introduced into E12. However, the genetic modification comprised </w:t>
      </w:r>
      <w:r>
        <w:rPr>
          <w:color w:val="000000" w:themeColor="text1"/>
        </w:rPr>
        <w:t>DNA from</w:t>
      </w:r>
      <w:r w:rsidRPr="0072095E">
        <w:rPr>
          <w:color w:val="000000" w:themeColor="text1"/>
        </w:rPr>
        <w:t xml:space="preserve"> </w:t>
      </w:r>
      <w:r>
        <w:rPr>
          <w:color w:val="000000" w:themeColor="text1"/>
        </w:rPr>
        <w:t xml:space="preserve">another </w:t>
      </w:r>
      <w:r w:rsidRPr="0072095E">
        <w:rPr>
          <w:color w:val="000000" w:themeColor="text1"/>
        </w:rPr>
        <w:t>species (</w:t>
      </w:r>
      <w:r w:rsidRPr="0072095E">
        <w:rPr>
          <w:i/>
          <w:color w:val="000000" w:themeColor="text1"/>
        </w:rPr>
        <w:t>S. verrucosum</w:t>
      </w:r>
      <w:r w:rsidRPr="0072095E">
        <w:rPr>
          <w:color w:val="000000" w:themeColor="text1"/>
        </w:rPr>
        <w:t xml:space="preserve">) and re-arranged segments of DNA </w:t>
      </w:r>
      <w:r>
        <w:rPr>
          <w:color w:val="000000" w:themeColor="text1"/>
        </w:rPr>
        <w:t xml:space="preserve">from the same species </w:t>
      </w:r>
      <w:r w:rsidRPr="0072095E">
        <w:rPr>
          <w:color w:val="000000" w:themeColor="text1"/>
        </w:rPr>
        <w:t>(</w:t>
      </w:r>
      <w:r w:rsidRPr="0072095E">
        <w:rPr>
          <w:i/>
          <w:color w:val="000000" w:themeColor="text1"/>
        </w:rPr>
        <w:t>S. tuberosum</w:t>
      </w:r>
      <w:r w:rsidRPr="0072095E">
        <w:rPr>
          <w:color w:val="000000" w:themeColor="text1"/>
        </w:rPr>
        <w:t xml:space="preserve">) and thus is considered novel DNA. The raw or cooked E12 tuber as well as processed products derived from E12 tubers (e.g. </w:t>
      </w:r>
      <w:r w:rsidR="00BC445C">
        <w:rPr>
          <w:color w:val="000000" w:themeColor="text1"/>
        </w:rPr>
        <w:t>French fries, crisps</w:t>
      </w:r>
      <w:r w:rsidRPr="0072095E">
        <w:rPr>
          <w:color w:val="000000" w:themeColor="text1"/>
        </w:rPr>
        <w:t xml:space="preserve">) would contain the novel DNA and are likely to require labelling as ‘genetically modified’. </w:t>
      </w:r>
      <w:r w:rsidR="007C31FF">
        <w:rPr>
          <w:color w:val="000000" w:themeColor="text1"/>
        </w:rPr>
        <w:br w:type="page"/>
      </w:r>
    </w:p>
    <w:p w14:paraId="663C6DF4" w14:textId="77777777" w:rsidR="00C75FD6" w:rsidRDefault="00C75FD6" w:rsidP="00C75FD6">
      <w:pPr>
        <w:rPr>
          <w:color w:val="000000" w:themeColor="text1"/>
        </w:rPr>
      </w:pPr>
      <w:r w:rsidRPr="0072095E">
        <w:rPr>
          <w:color w:val="000000" w:themeColor="text1"/>
        </w:rPr>
        <w:lastRenderedPageBreak/>
        <w:t xml:space="preserve">Highly processed E12 products such as alcohol would be unlikely to contain novel DNA and would be unlikely to require labelling. </w:t>
      </w:r>
    </w:p>
    <w:p w14:paraId="37532473" w14:textId="77777777" w:rsidR="00C75FD6" w:rsidRDefault="00C75FD6" w:rsidP="00C75FD6">
      <w:pPr>
        <w:rPr>
          <w:color w:val="000000" w:themeColor="text1"/>
        </w:rPr>
      </w:pPr>
    </w:p>
    <w:p w14:paraId="0BAA1E75" w14:textId="69366F7A" w:rsidR="00C75FD6" w:rsidRDefault="00C75FD6" w:rsidP="00C75FD6">
      <w:pPr>
        <w:rPr>
          <w:rFonts w:cs="Arial"/>
          <w:color w:val="000000" w:themeColor="text1"/>
          <w:szCs w:val="22"/>
          <w:lang w:val="en"/>
        </w:rPr>
      </w:pPr>
      <w:r w:rsidRPr="002B1519">
        <w:rPr>
          <w:color w:val="000000" w:themeColor="text1"/>
        </w:rPr>
        <w:t>While one of the stated purposes of the genetic modification in E12 is to reduce the potential for forming acrylamide, this chemical is not a component of the raw agricultural product. It is produced only during</w:t>
      </w:r>
      <w:r w:rsidRPr="002B1519">
        <w:rPr>
          <w:rFonts w:cs="Arial"/>
          <w:color w:val="000000" w:themeColor="text1"/>
          <w:szCs w:val="22"/>
          <w:lang w:val="en"/>
        </w:rPr>
        <w:t xml:space="preserve"> high-temperature cooking processes, such as deep frying. </w:t>
      </w:r>
      <w:r w:rsidR="00021049">
        <w:rPr>
          <w:rFonts w:cs="Arial"/>
          <w:color w:val="000000" w:themeColor="text1"/>
          <w:szCs w:val="22"/>
          <w:lang w:val="en"/>
        </w:rPr>
        <w:t>Reducing</w:t>
      </w:r>
      <w:r w:rsidRPr="002B1519">
        <w:rPr>
          <w:rFonts w:cs="Arial"/>
          <w:color w:val="000000" w:themeColor="text1"/>
          <w:szCs w:val="22"/>
          <w:lang w:val="en"/>
        </w:rPr>
        <w:t xml:space="preserve"> acrylamide potential is </w:t>
      </w:r>
      <w:r w:rsidR="00021049">
        <w:rPr>
          <w:rFonts w:cs="Arial"/>
          <w:color w:val="000000" w:themeColor="text1"/>
          <w:szCs w:val="22"/>
          <w:lang w:val="en"/>
        </w:rPr>
        <w:t xml:space="preserve">considered to be </w:t>
      </w:r>
      <w:r w:rsidRPr="002B1519">
        <w:rPr>
          <w:rFonts w:cs="Arial"/>
          <w:color w:val="000000" w:themeColor="text1"/>
          <w:szCs w:val="22"/>
          <w:lang w:val="en"/>
        </w:rPr>
        <w:t xml:space="preserve">desirable since acrylamide </w:t>
      </w:r>
      <w:r>
        <w:rPr>
          <w:rFonts w:cs="Arial"/>
          <w:color w:val="000000" w:themeColor="text1"/>
          <w:szCs w:val="22"/>
          <w:lang w:val="en"/>
        </w:rPr>
        <w:t>may be a</w:t>
      </w:r>
      <w:r w:rsidRPr="002B1519">
        <w:rPr>
          <w:rFonts w:cs="Arial"/>
          <w:color w:val="000000" w:themeColor="text1"/>
          <w:szCs w:val="22"/>
          <w:lang w:val="en"/>
        </w:rPr>
        <w:t xml:space="preserve"> health risk for consumers. </w:t>
      </w:r>
    </w:p>
    <w:p w14:paraId="185F1758" w14:textId="77777777" w:rsidR="00C75FD6" w:rsidRDefault="00C75FD6" w:rsidP="00C75FD6">
      <w:pPr>
        <w:rPr>
          <w:rFonts w:cs="Arial"/>
          <w:color w:val="000000" w:themeColor="text1"/>
          <w:szCs w:val="22"/>
          <w:lang w:val="en"/>
        </w:rPr>
      </w:pPr>
    </w:p>
    <w:p w14:paraId="130F3E39" w14:textId="771000AB" w:rsidR="00C75FD6" w:rsidRPr="002B1519" w:rsidRDefault="00EB66E8" w:rsidP="00C75FD6">
      <w:pPr>
        <w:rPr>
          <w:color w:val="000000" w:themeColor="text1"/>
        </w:rPr>
      </w:pPr>
      <w:r w:rsidRPr="0038635B">
        <w:rPr>
          <w:rFonts w:cs="Arial"/>
          <w:color w:val="000000" w:themeColor="text1"/>
          <w:szCs w:val="22"/>
          <w:lang w:val="en"/>
        </w:rPr>
        <w:t xml:space="preserve">There are generic labelling provisions </w:t>
      </w:r>
      <w:r w:rsidR="0038635B" w:rsidRPr="0038635B">
        <w:rPr>
          <w:rFonts w:cs="Arial"/>
          <w:color w:val="000000" w:themeColor="text1"/>
          <w:szCs w:val="22"/>
          <w:lang w:val="en"/>
        </w:rPr>
        <w:t>in the</w:t>
      </w:r>
      <w:r w:rsidRPr="0038635B">
        <w:rPr>
          <w:rFonts w:cs="Arial"/>
          <w:color w:val="000000" w:themeColor="text1"/>
          <w:szCs w:val="22"/>
          <w:lang w:val="en"/>
        </w:rPr>
        <w:t xml:space="preserve"> Code to provide for informed consumer choice. The onus is on the supplier to determine whether any labelling re</w:t>
      </w:r>
      <w:r w:rsidR="0038635B" w:rsidRPr="0038635B">
        <w:rPr>
          <w:rFonts w:cs="Arial"/>
          <w:color w:val="000000" w:themeColor="text1"/>
          <w:szCs w:val="22"/>
          <w:lang w:val="en"/>
        </w:rPr>
        <w:t>quirements in the</w:t>
      </w:r>
      <w:r w:rsidRPr="0038635B">
        <w:rPr>
          <w:rFonts w:cs="Arial"/>
          <w:color w:val="000000" w:themeColor="text1"/>
          <w:szCs w:val="22"/>
          <w:lang w:val="en"/>
        </w:rPr>
        <w:t xml:space="preserve"> Code</w:t>
      </w:r>
      <w:r w:rsidRPr="00E66D32">
        <w:rPr>
          <w:rFonts w:cs="Arial"/>
          <w:color w:val="000000" w:themeColor="text1"/>
          <w:szCs w:val="22"/>
          <w:lang w:val="en"/>
        </w:rPr>
        <w:t xml:space="preserve"> </w:t>
      </w:r>
      <w:r>
        <w:rPr>
          <w:rFonts w:cs="Arial"/>
          <w:color w:val="000000" w:themeColor="text1"/>
          <w:szCs w:val="22"/>
          <w:lang w:val="en"/>
        </w:rPr>
        <w:t xml:space="preserve">would </w:t>
      </w:r>
      <w:r w:rsidRPr="00E66D32">
        <w:rPr>
          <w:rFonts w:cs="Arial"/>
          <w:color w:val="000000" w:themeColor="text1"/>
          <w:szCs w:val="22"/>
          <w:lang w:val="en"/>
        </w:rPr>
        <w:t>apply</w:t>
      </w:r>
      <w:r>
        <w:rPr>
          <w:rFonts w:cs="Arial"/>
          <w:color w:val="000000" w:themeColor="text1"/>
          <w:szCs w:val="22"/>
          <w:lang w:val="en"/>
        </w:rPr>
        <w:t xml:space="preserve"> and are met</w:t>
      </w:r>
      <w:r w:rsidR="00A51F7F">
        <w:rPr>
          <w:rFonts w:cs="Arial"/>
          <w:color w:val="000000" w:themeColor="text1"/>
          <w:szCs w:val="22"/>
          <w:lang w:val="en"/>
        </w:rPr>
        <w:t xml:space="preserve">, particularly as a failure to comply with these requirements can amount to an offence under Australian and New Zealand food laws. </w:t>
      </w:r>
      <w:r w:rsidR="00C75FD6" w:rsidRPr="00E66D32">
        <w:rPr>
          <w:rFonts w:cs="Arial"/>
          <w:color w:val="000000" w:themeColor="text1"/>
          <w:szCs w:val="22"/>
          <w:lang w:val="en"/>
        </w:rPr>
        <w:t xml:space="preserve">Representations made </w:t>
      </w:r>
      <w:r w:rsidR="00C75FD6">
        <w:rPr>
          <w:rFonts w:cs="Arial"/>
          <w:color w:val="000000" w:themeColor="text1"/>
          <w:szCs w:val="22"/>
          <w:lang w:val="en"/>
        </w:rPr>
        <w:t xml:space="preserve">about </w:t>
      </w:r>
      <w:r w:rsidR="00C75FD6" w:rsidRPr="00E66D32">
        <w:rPr>
          <w:rFonts w:cs="Arial"/>
          <w:color w:val="000000" w:themeColor="text1"/>
          <w:szCs w:val="22"/>
          <w:lang w:val="en"/>
        </w:rPr>
        <w:t xml:space="preserve">a food derived from E12 would </w:t>
      </w:r>
      <w:r>
        <w:rPr>
          <w:rFonts w:cs="Arial"/>
          <w:color w:val="000000" w:themeColor="text1"/>
          <w:szCs w:val="22"/>
          <w:lang w:val="en"/>
        </w:rPr>
        <w:t xml:space="preserve">also </w:t>
      </w:r>
      <w:r w:rsidR="00C75FD6" w:rsidRPr="00E66D32">
        <w:rPr>
          <w:rFonts w:cs="Arial"/>
          <w:color w:val="000000" w:themeColor="text1"/>
          <w:szCs w:val="22"/>
          <w:lang w:val="en"/>
        </w:rPr>
        <w:t xml:space="preserve">be subject to </w:t>
      </w:r>
      <w:r w:rsidR="00A51F7F">
        <w:rPr>
          <w:rFonts w:cs="Arial"/>
          <w:color w:val="000000" w:themeColor="text1"/>
          <w:szCs w:val="22"/>
          <w:lang w:val="en"/>
        </w:rPr>
        <w:t xml:space="preserve">other Australian and New Zealand </w:t>
      </w:r>
      <w:r w:rsidR="00C75FD6" w:rsidRPr="00E66D32">
        <w:rPr>
          <w:rFonts w:cs="Arial"/>
          <w:color w:val="000000" w:themeColor="text1"/>
          <w:szCs w:val="22"/>
          <w:lang w:val="en"/>
        </w:rPr>
        <w:t>law</w:t>
      </w:r>
      <w:r w:rsidR="00A51F7F">
        <w:rPr>
          <w:rFonts w:cs="Arial"/>
          <w:color w:val="000000" w:themeColor="text1"/>
          <w:szCs w:val="22"/>
          <w:lang w:val="en"/>
        </w:rPr>
        <w:t>s</w:t>
      </w:r>
      <w:r w:rsidR="00C75FD6" w:rsidRPr="00E66D32">
        <w:rPr>
          <w:rFonts w:cs="Arial"/>
          <w:color w:val="000000" w:themeColor="text1"/>
          <w:szCs w:val="22"/>
          <w:lang w:val="en"/>
        </w:rPr>
        <w:t xml:space="preserve"> </w:t>
      </w:r>
      <w:r w:rsidR="00A51F7F">
        <w:rPr>
          <w:rFonts w:cs="Arial"/>
          <w:color w:val="000000" w:themeColor="text1"/>
          <w:szCs w:val="22"/>
          <w:lang w:val="en"/>
        </w:rPr>
        <w:t>de</w:t>
      </w:r>
      <w:r w:rsidR="0038635B">
        <w:rPr>
          <w:rFonts w:cs="Arial"/>
          <w:color w:val="000000" w:themeColor="text1"/>
          <w:szCs w:val="22"/>
          <w:lang w:val="en"/>
        </w:rPr>
        <w:t>s</w:t>
      </w:r>
      <w:r w:rsidR="00A51F7F">
        <w:rPr>
          <w:rFonts w:cs="Arial"/>
          <w:color w:val="000000" w:themeColor="text1"/>
          <w:szCs w:val="22"/>
          <w:lang w:val="en"/>
        </w:rPr>
        <w:t>igned to prevent</w:t>
      </w:r>
      <w:r w:rsidR="00C75FD6" w:rsidRPr="00E66D32">
        <w:rPr>
          <w:rFonts w:cs="Arial"/>
          <w:color w:val="000000" w:themeColor="text1"/>
          <w:szCs w:val="22"/>
          <w:lang w:val="en"/>
        </w:rPr>
        <w:t xml:space="preserve"> misleading or deceptive</w:t>
      </w:r>
      <w:r w:rsidR="00A51F7F">
        <w:rPr>
          <w:rFonts w:cs="Arial"/>
          <w:color w:val="000000" w:themeColor="text1"/>
          <w:szCs w:val="22"/>
          <w:lang w:val="en"/>
        </w:rPr>
        <w:t xml:space="preserve"> conduct, including in relation to food</w:t>
      </w:r>
      <w:r w:rsidR="00C75FD6" w:rsidRPr="00E66D32">
        <w:rPr>
          <w:rFonts w:cs="Arial"/>
          <w:color w:val="000000" w:themeColor="text1"/>
          <w:szCs w:val="22"/>
          <w:lang w:val="en"/>
        </w:rPr>
        <w:t xml:space="preserve">. </w:t>
      </w:r>
    </w:p>
    <w:p w14:paraId="15D679FE" w14:textId="36F7729A" w:rsidR="00BD2F6D" w:rsidRPr="00756A52" w:rsidRDefault="00BD2F6D" w:rsidP="00BD2F6D">
      <w:pPr>
        <w:pStyle w:val="Heading3"/>
      </w:pPr>
      <w:bookmarkStart w:id="72" w:name="_Toc463450498"/>
      <w:r w:rsidRPr="00756A52">
        <w:t xml:space="preserve">2.3.2 </w:t>
      </w:r>
      <w:r w:rsidRPr="00756A52">
        <w:tab/>
        <w:t>Detection methodology</w:t>
      </w:r>
      <w:bookmarkEnd w:id="70"/>
      <w:bookmarkEnd w:id="71"/>
      <w:bookmarkEnd w:id="72"/>
    </w:p>
    <w:p w14:paraId="0618E7D3" w14:textId="77777777" w:rsidR="00C75FD6" w:rsidRPr="009572C0" w:rsidRDefault="00C75FD6" w:rsidP="00C75FD6">
      <w:pPr>
        <w:rPr>
          <w:color w:val="000000" w:themeColor="text1"/>
        </w:rPr>
      </w:pPr>
      <w:r w:rsidRPr="00801000">
        <w:rPr>
          <w:color w:val="000000" w:themeColor="text1"/>
        </w:rPr>
        <w:t xml:space="preserve">The Applicant has provided a quantitative event-specific polymerase chain reaction (PCR) amplification method for line E12. The detection method specifically amplifies a DNA fragment spanning the junction between the potato genome and the 5’ region of the T-DNA insert. Since the junction site for the inserted T-DNA is unique in E12, PCR </w:t>
      </w:r>
      <w:r w:rsidRPr="009572C0">
        <w:rPr>
          <w:color w:val="000000" w:themeColor="text1"/>
        </w:rPr>
        <w:t xml:space="preserve">amplification using junction specific primers can be used to detect the event unambiguously. </w:t>
      </w:r>
    </w:p>
    <w:p w14:paraId="5506F222" w14:textId="77777777" w:rsidR="002C1A3B" w:rsidRPr="00756A52" w:rsidRDefault="002C1A3B" w:rsidP="00BD2F6D">
      <w:pPr>
        <w:pStyle w:val="Heading2"/>
      </w:pPr>
      <w:bookmarkStart w:id="73" w:name="_Toc463450499"/>
      <w:r w:rsidRPr="00756A52">
        <w:t>2.4</w:t>
      </w:r>
      <w:r w:rsidRPr="00756A52">
        <w:tab/>
        <w:t>Risk communication</w:t>
      </w:r>
      <w:bookmarkEnd w:id="67"/>
      <w:bookmarkEnd w:id="68"/>
      <w:bookmarkEnd w:id="73"/>
      <w:r w:rsidRPr="00756A52">
        <w:t xml:space="preserve"> </w:t>
      </w:r>
    </w:p>
    <w:p w14:paraId="319D7396" w14:textId="05F04D44" w:rsidR="00BD2F6D" w:rsidRPr="00756A52" w:rsidRDefault="00BD2F6D" w:rsidP="00BD2F6D">
      <w:pPr>
        <w:rPr>
          <w:lang w:bidi="ar-SA"/>
        </w:rPr>
      </w:pPr>
      <w:bookmarkStart w:id="74" w:name="_Toc370225391"/>
      <w:bookmarkStart w:id="75" w:name="_Toc175381455"/>
      <w:bookmarkEnd w:id="36"/>
      <w:bookmarkEnd w:id="37"/>
      <w:bookmarkEnd w:id="38"/>
      <w:bookmarkEnd w:id="39"/>
      <w:bookmarkEnd w:id="40"/>
      <w:bookmarkEnd w:id="41"/>
      <w:bookmarkEnd w:id="69"/>
      <w:r w:rsidRPr="00756A52">
        <w:rPr>
          <w:szCs w:val="22"/>
        </w:rPr>
        <w:t xml:space="preserve">Consultation is a key part of FSANZ’s standards development process. </w:t>
      </w:r>
      <w:r w:rsidRPr="00756A52">
        <w:rPr>
          <w:lang w:bidi="ar-SA"/>
        </w:rPr>
        <w:t>The process by which FSANZ considers standards matters is open, accountable, consultative and transparent. Public submissions are called to obtain the views of interested p</w:t>
      </w:r>
      <w:r w:rsidR="00340CD2" w:rsidRPr="00756A52">
        <w:rPr>
          <w:lang w:bidi="ar-SA"/>
        </w:rPr>
        <w:t>arties on issues raised by the A</w:t>
      </w:r>
      <w:r w:rsidRPr="00756A52">
        <w:rPr>
          <w:lang w:bidi="ar-SA"/>
        </w:rPr>
        <w:t>pplication and the impacts of regulatory options.</w:t>
      </w:r>
    </w:p>
    <w:p w14:paraId="00681BEF" w14:textId="77777777" w:rsidR="00BD2F6D" w:rsidRPr="00756A52" w:rsidRDefault="00BD2F6D" w:rsidP="00BD2F6D">
      <w:pPr>
        <w:widowControl/>
        <w:rPr>
          <w:szCs w:val="22"/>
        </w:rPr>
      </w:pPr>
    </w:p>
    <w:p w14:paraId="4B01BC45" w14:textId="150B8CB0" w:rsidR="00BD2F6D" w:rsidRPr="00756A52" w:rsidRDefault="00BD2F6D" w:rsidP="00BD2F6D">
      <w:pPr>
        <w:rPr>
          <w:lang w:bidi="ar-SA"/>
        </w:rPr>
      </w:pPr>
      <w:r w:rsidRPr="00756A52">
        <w:rPr>
          <w:szCs w:val="22"/>
        </w:rPr>
        <w:t xml:space="preserve">Public submissions were invited on a draft variation which was released for public comment between </w:t>
      </w:r>
      <w:r w:rsidR="00C75FD6">
        <w:rPr>
          <w:szCs w:val="22"/>
        </w:rPr>
        <w:t>19 August</w:t>
      </w:r>
      <w:r w:rsidR="00D60CCA" w:rsidRPr="00756A52">
        <w:rPr>
          <w:szCs w:val="22"/>
        </w:rPr>
        <w:t xml:space="preserve"> and </w:t>
      </w:r>
      <w:r w:rsidR="00C75FD6">
        <w:rPr>
          <w:szCs w:val="22"/>
        </w:rPr>
        <w:t>30 September</w:t>
      </w:r>
      <w:r w:rsidR="00AC7E7D" w:rsidRPr="00756A52">
        <w:rPr>
          <w:szCs w:val="22"/>
        </w:rPr>
        <w:t xml:space="preserve"> 2016.</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1CA07437" w14:textId="77777777" w:rsidR="00BD2F6D" w:rsidRPr="00756A52" w:rsidRDefault="00BD2F6D" w:rsidP="00BD2F6D">
      <w:pPr>
        <w:rPr>
          <w:lang w:bidi="ar-SA"/>
        </w:rPr>
      </w:pPr>
    </w:p>
    <w:p w14:paraId="0D3DEBB7" w14:textId="676A9781" w:rsidR="00BD2F6D" w:rsidRPr="00756A52" w:rsidRDefault="00BD2F6D" w:rsidP="00BD2F6D">
      <w:pPr>
        <w:rPr>
          <w:szCs w:val="22"/>
        </w:rPr>
      </w:pPr>
      <w:r w:rsidRPr="00183B79">
        <w:rPr>
          <w:szCs w:val="22"/>
        </w:rPr>
        <w:t xml:space="preserve">FSANZ acknowledges the time taken by individuals and organisations to make submissions on this Application. </w:t>
      </w:r>
      <w:r w:rsidR="00340CD2" w:rsidRPr="00756A52">
        <w:rPr>
          <w:szCs w:val="22"/>
        </w:rPr>
        <w:t>Every submission on this A</w:t>
      </w:r>
      <w:r w:rsidRPr="00756A52">
        <w:rPr>
          <w:szCs w:val="22"/>
        </w:rPr>
        <w:t xml:space="preserve">pplication was considered by the FSANZ Board. </w:t>
      </w:r>
      <w:r w:rsidR="005B70C3" w:rsidRPr="00756A52">
        <w:rPr>
          <w:szCs w:val="22"/>
        </w:rPr>
        <w:t>All comments are valued and contribute to the rigour of the safety assessment.</w:t>
      </w:r>
    </w:p>
    <w:p w14:paraId="1B88949D" w14:textId="77777777" w:rsidR="00BD2F6D" w:rsidRPr="00756A52" w:rsidRDefault="00BD2F6D" w:rsidP="00BD2F6D">
      <w:pPr>
        <w:rPr>
          <w:lang w:bidi="ar-SA"/>
        </w:rPr>
      </w:pPr>
    </w:p>
    <w:p w14:paraId="61BA094D" w14:textId="44263C72" w:rsidR="00BD2F6D" w:rsidRPr="00756A52" w:rsidRDefault="007C31FF" w:rsidP="00BD2F6D">
      <w:pPr>
        <w:rPr>
          <w:lang w:bidi="ar-SA"/>
        </w:rPr>
      </w:pPr>
      <w:r>
        <w:rPr>
          <w:lang w:bidi="ar-SA"/>
        </w:rPr>
        <w:t>Documents relating to</w:t>
      </w:r>
      <w:r w:rsidR="00BD2F6D" w:rsidRPr="00756A52">
        <w:rPr>
          <w:lang w:bidi="ar-SA"/>
        </w:rPr>
        <w:t xml:space="preserve"> A</w:t>
      </w:r>
      <w:r w:rsidR="00C75FD6">
        <w:rPr>
          <w:lang w:bidi="ar-SA"/>
        </w:rPr>
        <w:t>112</w:t>
      </w:r>
      <w:r w:rsidR="00AC7E7D" w:rsidRPr="00756A52">
        <w:rPr>
          <w:lang w:bidi="ar-SA"/>
        </w:rPr>
        <w:t>8</w:t>
      </w:r>
      <w:r w:rsidR="00BD2F6D" w:rsidRPr="00756A52">
        <w:rPr>
          <w:lang w:bidi="ar-SA"/>
        </w:rPr>
        <w:t>, including submissions received, are available on the FSANZ website.</w:t>
      </w:r>
    </w:p>
    <w:p w14:paraId="3903A6A4" w14:textId="77777777" w:rsidR="002C1A3B" w:rsidRPr="00756A52" w:rsidRDefault="002C1A3B" w:rsidP="002C1A3B">
      <w:pPr>
        <w:pStyle w:val="Heading2"/>
      </w:pPr>
      <w:bookmarkStart w:id="76" w:name="_Toc370223477"/>
      <w:bookmarkStart w:id="77" w:name="_Toc370225392"/>
      <w:bookmarkStart w:id="78" w:name="_Toc463450500"/>
      <w:bookmarkStart w:id="79" w:name="_Toc309291816"/>
      <w:bookmarkStart w:id="80" w:name="_Toc300933448"/>
      <w:bookmarkStart w:id="81" w:name="_Toc300933577"/>
      <w:bookmarkStart w:id="82" w:name="_Toc301535601"/>
      <w:bookmarkStart w:id="83" w:name="_Toc309385464"/>
      <w:bookmarkStart w:id="84" w:name="_Toc175381456"/>
      <w:bookmarkEnd w:id="74"/>
      <w:bookmarkEnd w:id="75"/>
      <w:r w:rsidRPr="00756A52">
        <w:t>2.5</w:t>
      </w:r>
      <w:r w:rsidRPr="00756A52">
        <w:tab/>
        <w:t>FSANZ Act assessment requirements</w:t>
      </w:r>
      <w:bookmarkEnd w:id="76"/>
      <w:bookmarkEnd w:id="77"/>
      <w:bookmarkEnd w:id="78"/>
    </w:p>
    <w:p w14:paraId="5C1CA8FC" w14:textId="77777777" w:rsidR="00BD2F6D" w:rsidRPr="00756A52" w:rsidRDefault="00BD2F6D" w:rsidP="00BD2F6D">
      <w:pPr>
        <w:pStyle w:val="Heading3"/>
      </w:pPr>
      <w:bookmarkStart w:id="85" w:name="_Toc370223478"/>
      <w:bookmarkStart w:id="86" w:name="_Toc370225393"/>
      <w:bookmarkStart w:id="87" w:name="_Toc420934024"/>
      <w:bookmarkStart w:id="88" w:name="_Toc463450501"/>
      <w:bookmarkEnd w:id="79"/>
      <w:bookmarkEnd w:id="80"/>
      <w:bookmarkEnd w:id="81"/>
      <w:bookmarkEnd w:id="82"/>
      <w:bookmarkEnd w:id="83"/>
      <w:r w:rsidRPr="00756A52">
        <w:t>2.5.1</w:t>
      </w:r>
      <w:r w:rsidRPr="00756A52">
        <w:tab/>
        <w:t>Section 29</w:t>
      </w:r>
      <w:bookmarkEnd w:id="85"/>
      <w:bookmarkEnd w:id="86"/>
      <w:bookmarkEnd w:id="87"/>
      <w:bookmarkEnd w:id="88"/>
    </w:p>
    <w:p w14:paraId="528BA95B" w14:textId="6372B7FE" w:rsidR="00BD2F6D" w:rsidRPr="00756A52" w:rsidRDefault="00BD2F6D" w:rsidP="00BD2F6D">
      <w:pPr>
        <w:pStyle w:val="Heading4"/>
      </w:pPr>
      <w:r w:rsidRPr="00756A52">
        <w:t>2.5.1.1</w:t>
      </w:r>
      <w:r w:rsidRPr="00756A52">
        <w:tab/>
      </w:r>
      <w:r w:rsidR="00AF71F6">
        <w:t>Consideration of costs and</w:t>
      </w:r>
      <w:r w:rsidR="00AF71F6" w:rsidRPr="002C1A3B">
        <w:t xml:space="preserve"> benefit</w:t>
      </w:r>
      <w:r w:rsidR="00AF71F6">
        <w:t>s</w:t>
      </w:r>
    </w:p>
    <w:p w14:paraId="5E1E77B3" w14:textId="77777777" w:rsidR="00C75FD6" w:rsidRPr="00801000" w:rsidRDefault="00C75FD6" w:rsidP="00A53299">
      <w:pPr>
        <w:ind w:right="-286"/>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51E2E8C4" w14:textId="77777777" w:rsidR="00C75FD6" w:rsidRPr="00801000" w:rsidRDefault="00C75FD6" w:rsidP="00C75FD6">
      <w:pPr>
        <w:rPr>
          <w:rFonts w:cs="Arial"/>
          <w:color w:val="000000" w:themeColor="text1"/>
        </w:rPr>
      </w:pPr>
    </w:p>
    <w:p w14:paraId="014928C6" w14:textId="77777777" w:rsidR="007C31FF" w:rsidRDefault="007C31FF" w:rsidP="00C75FD6">
      <w:pPr>
        <w:rPr>
          <w:rFonts w:cs="Arial"/>
          <w:color w:val="000000" w:themeColor="text1"/>
        </w:rPr>
      </w:pPr>
      <w:r>
        <w:rPr>
          <w:rFonts w:cs="Arial"/>
          <w:color w:val="000000" w:themeColor="text1"/>
        </w:rPr>
        <w:br w:type="page"/>
      </w:r>
    </w:p>
    <w:p w14:paraId="09087FC6" w14:textId="69FBF093" w:rsidR="00C75FD6" w:rsidRPr="00801000" w:rsidRDefault="00C75FD6" w:rsidP="00C75FD6">
      <w:pPr>
        <w:rPr>
          <w:rFonts w:cs="Arial"/>
          <w:color w:val="000000" w:themeColor="text1"/>
        </w:rPr>
      </w:pPr>
      <w:r w:rsidRPr="00801000">
        <w:rPr>
          <w:rFonts w:cs="Arial"/>
          <w:color w:val="000000" w:themeColor="text1"/>
        </w:rPr>
        <w:lastRenderedPageBreak/>
        <w:t>This standing exemption was provided as such changes are considered as minor, machinery and deregulatory in nature. The exemption relates to the introduction of a food to the food supply that has been determined to be safe.</w:t>
      </w:r>
    </w:p>
    <w:p w14:paraId="261A76DE" w14:textId="77777777" w:rsidR="00C75FD6" w:rsidRPr="00801000" w:rsidRDefault="00C75FD6" w:rsidP="00C75FD6">
      <w:pPr>
        <w:rPr>
          <w:color w:val="000000" w:themeColor="text1"/>
        </w:rPr>
      </w:pPr>
    </w:p>
    <w:p w14:paraId="604EF55E" w14:textId="77777777" w:rsidR="00C75FD6" w:rsidRPr="00801000" w:rsidRDefault="00C75FD6" w:rsidP="00C75FD6">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5028055E" w14:textId="77777777" w:rsidR="00C75FD6" w:rsidRPr="00801000" w:rsidRDefault="00C75FD6" w:rsidP="00C75FD6">
      <w:pPr>
        <w:rPr>
          <w:color w:val="000000" w:themeColor="text1"/>
        </w:rPr>
      </w:pPr>
    </w:p>
    <w:p w14:paraId="2A62C868" w14:textId="77777777" w:rsidR="00C75FD6" w:rsidRPr="00801000" w:rsidRDefault="00C75FD6" w:rsidP="00C75FD6">
      <w:pPr>
        <w:rPr>
          <w:color w:val="000000" w:themeColor="text1"/>
        </w:rPr>
      </w:pPr>
      <w:r w:rsidRPr="00801000">
        <w:rPr>
          <w:color w:val="000000" w:themeColor="text1"/>
        </w:rPr>
        <w:t xml:space="preserve">A 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2AAF0EC8" w14:textId="77777777" w:rsidR="00C75FD6" w:rsidRPr="00801000" w:rsidRDefault="00C75FD6" w:rsidP="00C75FD6">
      <w:pPr>
        <w:rPr>
          <w:color w:val="000000" w:themeColor="text1"/>
        </w:rPr>
      </w:pPr>
    </w:p>
    <w:p w14:paraId="18D6CFB2" w14:textId="149D1D3B" w:rsidR="00C75FD6" w:rsidRPr="00801000" w:rsidRDefault="00C75FD6" w:rsidP="00C75FD6">
      <w:pPr>
        <w:rPr>
          <w:color w:val="000000" w:themeColor="text1"/>
        </w:rPr>
      </w:pPr>
      <w:r w:rsidRPr="00801000">
        <w:rPr>
          <w:color w:val="000000" w:themeColor="text1"/>
        </w:rPr>
        <w:t xml:space="preserve">The cost/benefit analysis is based on E12 being approved for growing in other countries since the Applicant has stated that </w:t>
      </w:r>
      <w:r w:rsidRPr="00801000">
        <w:rPr>
          <w:rFonts w:cs="Arial"/>
          <w:color w:val="000000" w:themeColor="text1"/>
        </w:rPr>
        <w:t>approval for cultivation in Australia or New Zealand is not currently being sought. Cultivation in Australia or New Zealand would require separate regulatory approval (</w:t>
      </w:r>
      <w:r w:rsidRPr="00183B79">
        <w:rPr>
          <w:rFonts w:cs="Arial"/>
          <w:color w:val="000000" w:themeColor="text1"/>
        </w:rPr>
        <w:t xml:space="preserve">see section </w:t>
      </w:r>
      <w:r w:rsidR="00183B79" w:rsidRPr="00183B79">
        <w:rPr>
          <w:color w:val="000000" w:themeColor="text1"/>
        </w:rPr>
        <w:t>2.5</w:t>
      </w:r>
      <w:r w:rsidRPr="00183B79">
        <w:rPr>
          <w:color w:val="000000" w:themeColor="text1"/>
        </w:rPr>
        <w:t>.1.4).</w:t>
      </w:r>
    </w:p>
    <w:p w14:paraId="03EAAC9F" w14:textId="77816345" w:rsidR="00C75FD6" w:rsidRPr="00801000" w:rsidRDefault="00C75FD6" w:rsidP="00C75FD6">
      <w:pPr>
        <w:pStyle w:val="Heading4"/>
        <w:rPr>
          <w:b w:val="0"/>
          <w:color w:val="000000" w:themeColor="text1"/>
        </w:rPr>
      </w:pPr>
      <w:r w:rsidRPr="00801000">
        <w:rPr>
          <w:b w:val="0"/>
          <w:color w:val="000000" w:themeColor="text1"/>
        </w:rPr>
        <w:t xml:space="preserve">Option 1 – </w:t>
      </w:r>
      <w:r w:rsidR="00AF71F6">
        <w:rPr>
          <w:b w:val="0"/>
          <w:color w:val="000000" w:themeColor="text1"/>
        </w:rPr>
        <w:t>Approve</w:t>
      </w:r>
      <w:r w:rsidR="00AF71F6" w:rsidRPr="00801000">
        <w:rPr>
          <w:b w:val="0"/>
          <w:color w:val="000000" w:themeColor="text1"/>
        </w:rPr>
        <w:t xml:space="preserve"> </w:t>
      </w:r>
      <w:r w:rsidRPr="00801000">
        <w:rPr>
          <w:b w:val="0"/>
          <w:color w:val="000000" w:themeColor="text1"/>
        </w:rPr>
        <w:t>a draft variation to Schedule 26</w:t>
      </w:r>
    </w:p>
    <w:p w14:paraId="5CECF1C7" w14:textId="77777777" w:rsidR="00C75FD6" w:rsidRPr="00801000" w:rsidRDefault="00C75FD6" w:rsidP="00C75FD6">
      <w:pPr>
        <w:ind w:left="1418" w:hanging="1418"/>
        <w:rPr>
          <w:color w:val="000000" w:themeColor="text1"/>
        </w:rPr>
      </w:pPr>
      <w:r w:rsidRPr="00801000">
        <w:rPr>
          <w:i/>
          <w:color w:val="000000" w:themeColor="text1"/>
        </w:rPr>
        <w:t>Consumers:</w:t>
      </w:r>
      <w:r w:rsidRPr="00801000">
        <w:rPr>
          <w:color w:val="000000" w:themeColor="text1"/>
        </w:rPr>
        <w:tab/>
        <w:t>Food from E12 has been assessed as being as safe as food from conventional cultivars of potato.</w:t>
      </w:r>
    </w:p>
    <w:p w14:paraId="09044AF8" w14:textId="77777777" w:rsidR="00C75FD6" w:rsidRPr="00801000" w:rsidRDefault="00C75FD6" w:rsidP="00C75FD6">
      <w:pPr>
        <w:ind w:left="1418" w:hanging="1418"/>
        <w:rPr>
          <w:color w:val="000000" w:themeColor="text1"/>
        </w:rPr>
      </w:pPr>
    </w:p>
    <w:p w14:paraId="04BCC03F" w14:textId="77777777" w:rsidR="00C75FD6" w:rsidRPr="00801000" w:rsidRDefault="00C75FD6" w:rsidP="00C75FD6">
      <w:pPr>
        <w:ind w:left="1418"/>
        <w:rPr>
          <w:color w:val="000000" w:themeColor="text1"/>
        </w:rPr>
      </w:pPr>
      <w:r w:rsidRPr="00801000">
        <w:rPr>
          <w:color w:val="000000" w:themeColor="text1"/>
        </w:rPr>
        <w:t>Broader availability of imported potato products since, if E12 is approved for commercial growing in other countries, there would be no restriction on imported foods containing this line.</w:t>
      </w:r>
    </w:p>
    <w:p w14:paraId="5827F48C" w14:textId="77777777" w:rsidR="00C75FD6" w:rsidRPr="00801000" w:rsidRDefault="00C75FD6" w:rsidP="00C75FD6">
      <w:pPr>
        <w:ind w:left="1418" w:hanging="1418"/>
        <w:rPr>
          <w:color w:val="000000" w:themeColor="text1"/>
        </w:rPr>
      </w:pPr>
    </w:p>
    <w:p w14:paraId="0FDD7987" w14:textId="0EA65AC5" w:rsidR="00C75FD6" w:rsidRPr="00801000" w:rsidRDefault="00C75FD6" w:rsidP="00C75FD6">
      <w:pPr>
        <w:ind w:left="1418"/>
        <w:rPr>
          <w:color w:val="000000" w:themeColor="text1"/>
        </w:rPr>
      </w:pPr>
      <w:r w:rsidRPr="00801000">
        <w:rPr>
          <w:color w:val="000000" w:themeColor="text1"/>
        </w:rPr>
        <w:t>For those potato line E12 products containing novel DNA</w:t>
      </w:r>
      <w:r w:rsidR="008C6CA1">
        <w:rPr>
          <w:color w:val="000000" w:themeColor="text1"/>
        </w:rPr>
        <w:t xml:space="preserve"> (other than food sold for immediate consumption)</w:t>
      </w:r>
      <w:r>
        <w:rPr>
          <w:color w:val="000000" w:themeColor="text1"/>
        </w:rPr>
        <w:t>,</w:t>
      </w:r>
      <w:r w:rsidRPr="00801000">
        <w:rPr>
          <w:color w:val="000000" w:themeColor="text1"/>
        </w:rPr>
        <w:t xml:space="preserve"> labelling would allow consumers wishing to avoid these products to do so.</w:t>
      </w:r>
    </w:p>
    <w:p w14:paraId="3E8BDB47" w14:textId="77777777" w:rsidR="00C75FD6" w:rsidRPr="00801000" w:rsidRDefault="00C75FD6" w:rsidP="00240E94">
      <w:pPr>
        <w:rPr>
          <w:color w:val="000000" w:themeColor="text1"/>
        </w:rPr>
      </w:pPr>
    </w:p>
    <w:p w14:paraId="16680538" w14:textId="076504B1" w:rsidR="00C75FD6" w:rsidRPr="00801000" w:rsidRDefault="00C75FD6" w:rsidP="00C75FD6">
      <w:pPr>
        <w:ind w:left="1418"/>
        <w:rPr>
          <w:color w:val="000000" w:themeColor="text1"/>
        </w:rPr>
      </w:pPr>
      <w:r w:rsidRPr="00801000">
        <w:rPr>
          <w:color w:val="000000" w:themeColor="text1"/>
        </w:rPr>
        <w:t>If E12 is approved for commercial growing in overseas countries</w:t>
      </w:r>
      <w:r w:rsidR="003C1183">
        <w:rPr>
          <w:color w:val="000000" w:themeColor="text1"/>
        </w:rPr>
        <w:t>,</w:t>
      </w:r>
      <w:r w:rsidRPr="00801000">
        <w:rPr>
          <w:color w:val="000000" w:themeColor="text1"/>
        </w:rPr>
        <w:t xml:space="preserve"> it could be used in the manufacture of products using co-mingled potato tubers. This means that there would be no cost involved in having to exclude E12 from co-mingling and hence that there would be no consequential need to increase the prices of imported foods that are manufactured using co-mingled potato tubers.</w:t>
      </w:r>
    </w:p>
    <w:p w14:paraId="2F9CE154" w14:textId="77777777" w:rsidR="00C75FD6" w:rsidRPr="00801000" w:rsidRDefault="00C75FD6" w:rsidP="00C75FD6">
      <w:pPr>
        <w:ind w:left="1418" w:hanging="1418"/>
        <w:rPr>
          <w:color w:val="000000" w:themeColor="text1"/>
        </w:rPr>
      </w:pPr>
    </w:p>
    <w:p w14:paraId="307D1EE5" w14:textId="77777777" w:rsidR="00C75FD6" w:rsidRPr="00801000" w:rsidRDefault="00C75FD6" w:rsidP="00C75FD6">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As mentioned above, food from E12 has been assessed as being as safe as food from conventional cultivars of potato.</w:t>
      </w:r>
    </w:p>
    <w:p w14:paraId="4B1706B1" w14:textId="77777777" w:rsidR="00C75FD6" w:rsidRPr="00801000" w:rsidRDefault="00C75FD6" w:rsidP="00C75FD6">
      <w:pPr>
        <w:ind w:left="1418"/>
        <w:rPr>
          <w:color w:val="000000" w:themeColor="text1"/>
        </w:rPr>
      </w:pPr>
    </w:p>
    <w:p w14:paraId="4D68836D" w14:textId="77777777" w:rsidR="00C75FD6" w:rsidRPr="00801000" w:rsidRDefault="00C75FD6" w:rsidP="00C75FD6">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w:t>
      </w:r>
    </w:p>
    <w:p w14:paraId="3D86BF3E" w14:textId="77777777" w:rsidR="00C75FD6" w:rsidRPr="00801000" w:rsidRDefault="00C75FD6" w:rsidP="00C75FD6">
      <w:pPr>
        <w:rPr>
          <w:color w:val="000000" w:themeColor="text1"/>
        </w:rPr>
      </w:pPr>
    </w:p>
    <w:p w14:paraId="756394C6" w14:textId="77777777" w:rsidR="00C75FD6" w:rsidRPr="00801000" w:rsidRDefault="00C75FD6" w:rsidP="00C75FD6">
      <w:pPr>
        <w:ind w:left="1418"/>
        <w:rPr>
          <w:color w:val="000000" w:themeColor="text1"/>
        </w:rPr>
      </w:pPr>
      <w:r w:rsidRPr="00801000">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084F5550" w14:textId="77777777" w:rsidR="00C75FD6" w:rsidRPr="00801000" w:rsidRDefault="00C75FD6" w:rsidP="00C75FD6">
      <w:pPr>
        <w:rPr>
          <w:color w:val="000000" w:themeColor="text1"/>
        </w:rPr>
      </w:pPr>
    </w:p>
    <w:p w14:paraId="66888865" w14:textId="4CAB4A64" w:rsidR="007C31FF" w:rsidRDefault="00C75FD6" w:rsidP="00C75FD6">
      <w:pPr>
        <w:ind w:left="1418" w:hanging="1418"/>
        <w:rPr>
          <w:color w:val="000000" w:themeColor="text1"/>
        </w:rPr>
      </w:pPr>
      <w:r w:rsidRPr="00801000">
        <w:rPr>
          <w:i/>
          <w:color w:val="000000" w:themeColor="text1"/>
        </w:rPr>
        <w:t>Industry:</w:t>
      </w:r>
      <w:r w:rsidRPr="00801000">
        <w:rPr>
          <w:color w:val="000000" w:themeColor="text1"/>
        </w:rPr>
        <w:tab/>
        <w:t xml:space="preserve">Foods derived from E12 would be permitted under the Code, allowing broader market access and increased choice in raw materials. </w:t>
      </w:r>
      <w:r w:rsidR="007C31FF">
        <w:rPr>
          <w:color w:val="000000" w:themeColor="text1"/>
        </w:rPr>
        <w:br w:type="page"/>
      </w:r>
    </w:p>
    <w:p w14:paraId="64E93D90" w14:textId="77777777" w:rsidR="00C75FD6" w:rsidRPr="00801000" w:rsidRDefault="00C75FD6" w:rsidP="00C75FD6">
      <w:pPr>
        <w:ind w:left="1418"/>
        <w:rPr>
          <w:color w:val="000000" w:themeColor="text1"/>
        </w:rPr>
      </w:pPr>
      <w:r w:rsidRPr="00801000">
        <w:rPr>
          <w:color w:val="000000" w:themeColor="text1"/>
        </w:rPr>
        <w:lastRenderedPageBreak/>
        <w:t>The segregation of tubers of E12 from conventional tubers, as for any GM crop, will be driven by industry, based on market preferences. Implicit in this will be a due regard to the cost of segregation.</w:t>
      </w:r>
    </w:p>
    <w:p w14:paraId="62EBAA8E" w14:textId="77777777" w:rsidR="00C75FD6" w:rsidRPr="00801000" w:rsidRDefault="00C75FD6" w:rsidP="00C75FD6">
      <w:pPr>
        <w:ind w:left="1418"/>
        <w:rPr>
          <w:color w:val="000000" w:themeColor="text1"/>
        </w:rPr>
      </w:pPr>
    </w:p>
    <w:p w14:paraId="05FB0359" w14:textId="77777777" w:rsidR="00C75FD6" w:rsidRPr="00801000" w:rsidRDefault="00C75FD6" w:rsidP="00C75FD6">
      <w:pPr>
        <w:ind w:left="1418"/>
        <w:rPr>
          <w:color w:val="000000" w:themeColor="text1"/>
        </w:rPr>
      </w:pPr>
      <w:r w:rsidRPr="00801000">
        <w:rPr>
          <w:color w:val="000000" w:themeColor="text1"/>
        </w:rPr>
        <w:t>Retailers may be able to offer a broader range of potato products or imported foods manufactured using potato derivatives.</w:t>
      </w:r>
    </w:p>
    <w:p w14:paraId="09BC272E" w14:textId="77777777" w:rsidR="00C75FD6" w:rsidRPr="00801000" w:rsidRDefault="00C75FD6" w:rsidP="00C75FD6">
      <w:pPr>
        <w:ind w:left="1418"/>
        <w:rPr>
          <w:color w:val="000000" w:themeColor="text1"/>
        </w:rPr>
      </w:pPr>
    </w:p>
    <w:p w14:paraId="1237CBE2" w14:textId="77777777" w:rsidR="00C75FD6" w:rsidRPr="00801000" w:rsidRDefault="00C75FD6" w:rsidP="00C75FD6">
      <w:pPr>
        <w:ind w:left="1418"/>
        <w:rPr>
          <w:color w:val="000000" w:themeColor="text1"/>
        </w:rPr>
      </w:pPr>
      <w:r w:rsidRPr="00801000">
        <w:rPr>
          <w:color w:val="000000" w:themeColor="text1"/>
        </w:rPr>
        <w:t xml:space="preserve">There may be additional costs to the food industry as food ingredients derived from E12 would require the ‘genetically modified’ labelling statement if they contain novel DNA. </w:t>
      </w:r>
    </w:p>
    <w:p w14:paraId="0FEC0D40" w14:textId="77777777" w:rsidR="00BD2F6D" w:rsidRPr="00756A52" w:rsidRDefault="00BD2F6D" w:rsidP="00BD2F6D">
      <w:pPr>
        <w:rPr>
          <w:szCs w:val="22"/>
        </w:rPr>
      </w:pPr>
    </w:p>
    <w:p w14:paraId="7BED1859" w14:textId="4D3B0A2D" w:rsidR="00001991" w:rsidRPr="00756A52" w:rsidRDefault="00001991" w:rsidP="00001991">
      <w:r w:rsidRPr="00756A52">
        <w:t xml:space="preserve">As food from </w:t>
      </w:r>
      <w:r w:rsidR="00C75FD6">
        <w:t>E12</w:t>
      </w:r>
      <w:r w:rsidRPr="00756A52">
        <w:t xml:space="preserve"> has been found to be as safe as food </w:t>
      </w:r>
      <w:r w:rsidR="00F6217E">
        <w:t>from conventional cultivars of potato</w:t>
      </w:r>
      <w:r w:rsidRPr="00756A52">
        <w:t xml:space="preserve">, not preparing a draft variation would offer little benefit to consumers, as approval of </w:t>
      </w:r>
      <w:r w:rsidR="00F6217E">
        <w:t>E12</w:t>
      </w:r>
      <w:r w:rsidRPr="00756A52">
        <w:t xml:space="preserve"> by other countries could limit the availability of imported </w:t>
      </w:r>
      <w:r w:rsidR="006A12B8">
        <w:t>potato</w:t>
      </w:r>
      <w:r w:rsidR="006A12B8" w:rsidRPr="00756A52">
        <w:t xml:space="preserve"> </w:t>
      </w:r>
      <w:r w:rsidRPr="00756A52">
        <w:t>products in the Australian and New Zealand markets.</w:t>
      </w:r>
    </w:p>
    <w:p w14:paraId="3BED3411" w14:textId="77777777" w:rsidR="00BD2F6D" w:rsidRPr="00756A52" w:rsidRDefault="00BD2F6D" w:rsidP="00BD2F6D">
      <w:pPr>
        <w:rPr>
          <w:rFonts w:cs="Arial"/>
          <w:szCs w:val="22"/>
        </w:rPr>
      </w:pPr>
    </w:p>
    <w:p w14:paraId="15F352DC" w14:textId="77777777" w:rsidR="00BD2F6D" w:rsidRPr="00756A52" w:rsidRDefault="00BD2F6D" w:rsidP="00BD2F6D">
      <w:r w:rsidRPr="00756A52">
        <w:t>Based on the conclusions of the safety assessments, the potential benefits of approving the variation outweighed the potential costs.</w:t>
      </w:r>
    </w:p>
    <w:p w14:paraId="32BE7DDE" w14:textId="77777777" w:rsidR="002C1A3B" w:rsidRPr="00756A52" w:rsidRDefault="002C1A3B" w:rsidP="002C1A3B">
      <w:pPr>
        <w:pStyle w:val="Heading4"/>
      </w:pPr>
      <w:r w:rsidRPr="00756A52">
        <w:t>2.5.1.2</w:t>
      </w:r>
      <w:r w:rsidRPr="00756A52">
        <w:tab/>
        <w:t>Other measures</w:t>
      </w:r>
    </w:p>
    <w:p w14:paraId="50EF6D1D" w14:textId="5FA11246" w:rsidR="00BD2F6D" w:rsidRPr="00756A52" w:rsidRDefault="00BD2F6D" w:rsidP="00BD2F6D">
      <w:r w:rsidRPr="00756A52">
        <w:t xml:space="preserve">There are no other measures (whether available to FSANZ or not) that would be more cost-effective than a food regulatory measure developed or varied </w:t>
      </w:r>
      <w:r w:rsidR="00F6217E">
        <w:t>as a result of Application A112</w:t>
      </w:r>
      <w:r w:rsidR="00AC6FFA" w:rsidRPr="00756A52">
        <w:t>8</w:t>
      </w:r>
      <w:r w:rsidRPr="00756A52">
        <w:t>.</w:t>
      </w:r>
    </w:p>
    <w:p w14:paraId="0C39C59C" w14:textId="77777777" w:rsidR="002C1A3B" w:rsidRPr="00756A52" w:rsidRDefault="002C1A3B" w:rsidP="002C1A3B">
      <w:pPr>
        <w:pStyle w:val="Heading4"/>
      </w:pPr>
      <w:r w:rsidRPr="00756A52">
        <w:t>2.5.1.3</w:t>
      </w:r>
      <w:r w:rsidRPr="00756A52">
        <w:tab/>
        <w:t>Any relevant New Zealand standards</w:t>
      </w:r>
    </w:p>
    <w:p w14:paraId="1F5E9D82" w14:textId="2332ADAE" w:rsidR="00BD2F6D" w:rsidRPr="00756A52" w:rsidRDefault="00001991" w:rsidP="00BD2F6D">
      <w:r w:rsidRPr="00756A52">
        <w:t>Schedule 26</w:t>
      </w:r>
      <w:r w:rsidR="00BD2F6D" w:rsidRPr="00756A52">
        <w:t xml:space="preserve"> applies in New Zealand.</w:t>
      </w:r>
    </w:p>
    <w:p w14:paraId="0BCD41AC" w14:textId="77777777" w:rsidR="002C1A3B" w:rsidRPr="00756A52" w:rsidRDefault="002C1A3B" w:rsidP="002C1A3B">
      <w:pPr>
        <w:pStyle w:val="Heading4"/>
      </w:pPr>
      <w:r w:rsidRPr="00756A52">
        <w:t>2.5.1.4</w:t>
      </w:r>
      <w:r w:rsidRPr="00756A52">
        <w:tab/>
        <w:t>Any other relevant matters</w:t>
      </w:r>
    </w:p>
    <w:p w14:paraId="62C15770" w14:textId="5BA6FBBB" w:rsidR="00F6217E" w:rsidRPr="00DA1ABB" w:rsidRDefault="00F6217E" w:rsidP="00F6217E">
      <w:pPr>
        <w:rPr>
          <w:color w:val="000000" w:themeColor="text1"/>
        </w:rPr>
      </w:pPr>
      <w:bookmarkStart w:id="89" w:name="_Toc370223479"/>
      <w:bookmarkStart w:id="90" w:name="_Toc370225394"/>
      <w:bookmarkStart w:id="91" w:name="_Toc300761897"/>
      <w:bookmarkStart w:id="92" w:name="_Toc300933440"/>
      <w:r w:rsidRPr="00DA1ABB">
        <w:rPr>
          <w:color w:val="000000" w:themeColor="text1"/>
        </w:rPr>
        <w:t>The Applicant has submitted applications for regulatory approval of E12 to a number of other</w:t>
      </w:r>
      <w:r w:rsidR="00C90A17">
        <w:rPr>
          <w:color w:val="000000" w:themeColor="text1"/>
        </w:rPr>
        <w:t xml:space="preserve"> countries, as listed in </w:t>
      </w:r>
      <w:r w:rsidR="00C90A17" w:rsidRPr="00183B79">
        <w:rPr>
          <w:color w:val="000000" w:themeColor="text1"/>
        </w:rPr>
        <w:t>Table 2</w:t>
      </w:r>
      <w:r w:rsidRPr="00183B79">
        <w:rPr>
          <w:color w:val="000000" w:themeColor="text1"/>
        </w:rPr>
        <w:t>.</w:t>
      </w:r>
    </w:p>
    <w:p w14:paraId="2E443C67" w14:textId="77777777" w:rsidR="00F6217E" w:rsidRPr="00DA1ABB" w:rsidRDefault="00F6217E" w:rsidP="00F6217E">
      <w:pPr>
        <w:rPr>
          <w:color w:val="000000" w:themeColor="text1"/>
        </w:rPr>
      </w:pPr>
    </w:p>
    <w:p w14:paraId="0ACE17A9" w14:textId="65B2B278" w:rsidR="00F6217E" w:rsidRDefault="00F6217E" w:rsidP="00F6217E">
      <w:pPr>
        <w:rPr>
          <w:color w:val="000000" w:themeColor="text1"/>
        </w:rPr>
      </w:pPr>
      <w:r w:rsidRPr="00DA1ABB">
        <w:rPr>
          <w:color w:val="000000" w:themeColor="text1"/>
        </w:rPr>
        <w:t>The Applican</w:t>
      </w:r>
      <w:r>
        <w:rPr>
          <w:color w:val="000000" w:themeColor="text1"/>
        </w:rPr>
        <w:t>t has stated there is currently</w:t>
      </w:r>
      <w:r w:rsidRPr="00DA1ABB">
        <w:rPr>
          <w:color w:val="000000" w:themeColor="text1"/>
        </w:rPr>
        <w:t xml:space="preserve"> no intention to apply</w:t>
      </w:r>
      <w:r>
        <w:rPr>
          <w:color w:val="000000" w:themeColor="text1"/>
        </w:rPr>
        <w:t xml:space="preserve"> for approval to cultivate </w:t>
      </w:r>
      <w:r w:rsidRPr="00DA1ABB">
        <w:rPr>
          <w:color w:val="000000" w:themeColor="text1"/>
        </w:rPr>
        <w:t xml:space="preserve">E12 in either Australia or New Zealand. </w:t>
      </w:r>
      <w:r w:rsidR="00903606">
        <w:rPr>
          <w:color w:val="000000" w:themeColor="text1"/>
        </w:rPr>
        <w:t>There is also no intention to import live, viable potatoes (i.e. those with eyes that can sprout) for sale as fresh produce.</w:t>
      </w:r>
    </w:p>
    <w:p w14:paraId="1F6E5283" w14:textId="77777777" w:rsidR="00F6217E" w:rsidRDefault="00F6217E" w:rsidP="00F6217E">
      <w:pPr>
        <w:rPr>
          <w:color w:val="000000" w:themeColor="text1"/>
        </w:rPr>
      </w:pPr>
    </w:p>
    <w:p w14:paraId="0B98B88A" w14:textId="2C6EE692" w:rsidR="00240E94" w:rsidRDefault="00903606" w:rsidP="00F6217E">
      <w:pPr>
        <w:rPr>
          <w:color w:val="000000" w:themeColor="text1"/>
        </w:rPr>
      </w:pPr>
      <w:r w:rsidRPr="00C90A17">
        <w:rPr>
          <w:rFonts w:cs="Arial"/>
          <w:color w:val="000000" w:themeColor="text1"/>
          <w:szCs w:val="22"/>
        </w:rPr>
        <w:t>If E12 potatoes were to be grown in Australia</w:t>
      </w:r>
      <w:r>
        <w:rPr>
          <w:rFonts w:cs="Arial"/>
          <w:color w:val="000000" w:themeColor="text1"/>
          <w:szCs w:val="22"/>
        </w:rPr>
        <w:t>/New Zealand</w:t>
      </w:r>
      <w:r w:rsidR="00AF71F6">
        <w:rPr>
          <w:rFonts w:cs="Arial"/>
          <w:color w:val="000000" w:themeColor="text1"/>
          <w:szCs w:val="22"/>
        </w:rPr>
        <w:t>,</w:t>
      </w:r>
      <w:r>
        <w:rPr>
          <w:rFonts w:cs="Arial"/>
          <w:color w:val="000000" w:themeColor="text1"/>
          <w:szCs w:val="22"/>
        </w:rPr>
        <w:t xml:space="preserve"> or viable E12 potatoes</w:t>
      </w:r>
      <w:r w:rsidRPr="00C90A17">
        <w:rPr>
          <w:rFonts w:cs="Arial"/>
          <w:color w:val="000000" w:themeColor="text1"/>
          <w:szCs w:val="22"/>
        </w:rPr>
        <w:t xml:space="preserve"> were to be imported into Australia</w:t>
      </w:r>
      <w:r>
        <w:rPr>
          <w:rFonts w:cs="Arial"/>
          <w:color w:val="000000" w:themeColor="text1"/>
          <w:szCs w:val="22"/>
        </w:rPr>
        <w:t>/New Zealand</w:t>
      </w:r>
      <w:r w:rsidR="00AF71F6">
        <w:rPr>
          <w:rFonts w:cs="Arial"/>
          <w:color w:val="000000" w:themeColor="text1"/>
          <w:szCs w:val="22"/>
        </w:rPr>
        <w:t>,</w:t>
      </w:r>
      <w:r w:rsidRPr="00C90A17">
        <w:rPr>
          <w:rFonts w:cs="Arial"/>
          <w:color w:val="000000" w:themeColor="text1"/>
          <w:szCs w:val="22"/>
        </w:rPr>
        <w:t xml:space="preserve"> they would require a licence</w:t>
      </w:r>
      <w:r>
        <w:rPr>
          <w:rFonts w:cs="Arial"/>
          <w:color w:val="000000" w:themeColor="text1"/>
          <w:szCs w:val="22"/>
        </w:rPr>
        <w:t>/approval</w:t>
      </w:r>
      <w:r w:rsidRPr="00C90A17">
        <w:rPr>
          <w:rFonts w:cs="Arial"/>
          <w:color w:val="000000" w:themeColor="text1"/>
          <w:szCs w:val="22"/>
        </w:rPr>
        <w:t xml:space="preserve"> from the </w:t>
      </w:r>
      <w:r>
        <w:rPr>
          <w:rFonts w:cs="Arial"/>
          <w:color w:val="000000" w:themeColor="text1"/>
          <w:szCs w:val="22"/>
        </w:rPr>
        <w:t xml:space="preserve">Australian Government </w:t>
      </w:r>
      <w:r w:rsidRPr="00C90A17">
        <w:rPr>
          <w:rFonts w:cs="Arial"/>
          <w:color w:val="000000" w:themeColor="text1"/>
          <w:szCs w:val="22"/>
        </w:rPr>
        <w:t xml:space="preserve">Office of the Gene Technology Regulator </w:t>
      </w:r>
      <w:r w:rsidR="00F6217E" w:rsidRPr="00DA1ABB">
        <w:rPr>
          <w:color w:val="000000" w:themeColor="text1"/>
        </w:rPr>
        <w:t xml:space="preserve">in Australia and by the Environmental Protection Authority in New Zealand. </w:t>
      </w:r>
      <w:r w:rsidR="00645E9E">
        <w:rPr>
          <w:color w:val="000000" w:themeColor="text1"/>
        </w:rPr>
        <w:t>Australian biosecurity requirements would also have to be satisfied</w:t>
      </w:r>
      <w:r w:rsidR="005C4B05">
        <w:rPr>
          <w:color w:val="000000" w:themeColor="text1"/>
        </w:rPr>
        <w:t xml:space="preserve"> before importation was permitted</w:t>
      </w:r>
      <w:r w:rsidR="00645E9E">
        <w:rPr>
          <w:color w:val="000000" w:themeColor="text1"/>
        </w:rPr>
        <w:t>.</w:t>
      </w:r>
    </w:p>
    <w:p w14:paraId="0D22CD0F" w14:textId="77777777" w:rsidR="006C1225" w:rsidRDefault="006C1225" w:rsidP="00F6217E">
      <w:pPr>
        <w:rPr>
          <w:color w:val="000000" w:themeColor="text1"/>
        </w:rPr>
      </w:pPr>
    </w:p>
    <w:p w14:paraId="105085FB" w14:textId="1492F233" w:rsidR="00240E94" w:rsidRDefault="006C1225" w:rsidP="00A53299">
      <w:pPr>
        <w:rPr>
          <w:lang w:bidi="ar-SA"/>
        </w:rPr>
      </w:pPr>
      <w:r>
        <w:t>Other relevant matters are considered below</w:t>
      </w:r>
      <w:r>
        <w:rPr>
          <w:lang w:bidi="ar-SA"/>
        </w:rPr>
        <w:t>.</w:t>
      </w:r>
    </w:p>
    <w:p w14:paraId="38579F9C" w14:textId="77777777" w:rsidR="00645E9E" w:rsidRDefault="00645E9E" w:rsidP="00A53299">
      <w:pPr>
        <w:rPr>
          <w:color w:val="000000" w:themeColor="text1"/>
        </w:rPr>
      </w:pPr>
    </w:p>
    <w:p w14:paraId="2A7C2364" w14:textId="1040C79F" w:rsidR="00F6217E" w:rsidRDefault="00C90A17" w:rsidP="00F6217E">
      <w:pPr>
        <w:rPr>
          <w:b/>
          <w:bCs/>
          <w:iCs/>
          <w:lang w:val="en-AU"/>
        </w:rPr>
      </w:pPr>
      <w:r>
        <w:rPr>
          <w:b/>
          <w:bCs/>
          <w:iCs/>
          <w:lang w:val="en-AU"/>
        </w:rPr>
        <w:t>Table 2</w:t>
      </w:r>
      <w:r w:rsidR="00F6217E" w:rsidRPr="006650D1">
        <w:rPr>
          <w:b/>
          <w:bCs/>
          <w:iCs/>
          <w:lang w:val="en-AU"/>
        </w:rPr>
        <w:t xml:space="preserve">: List of countries to whom applications for </w:t>
      </w:r>
      <w:r w:rsidR="00F6217E">
        <w:rPr>
          <w:b/>
          <w:bCs/>
          <w:iCs/>
          <w:lang w:val="en-AU"/>
        </w:rPr>
        <w:t xml:space="preserve">regulatory approval of E12 </w:t>
      </w:r>
      <w:r w:rsidR="00F6217E" w:rsidRPr="006650D1">
        <w:rPr>
          <w:b/>
          <w:bCs/>
          <w:iCs/>
          <w:lang w:val="en-AU"/>
        </w:rPr>
        <w:t>have been submitted</w:t>
      </w:r>
    </w:p>
    <w:p w14:paraId="0EE37E97" w14:textId="77777777" w:rsidR="00AF71F6" w:rsidRPr="006650D1" w:rsidRDefault="00AF71F6" w:rsidP="00F6217E">
      <w:pPr>
        <w:rPr>
          <w:b/>
          <w:bCs/>
          <w:iCs/>
          <w:lang w:val="en-AU"/>
        </w:rPr>
      </w:pPr>
    </w:p>
    <w:tbl>
      <w:tblPr>
        <w:tblW w:w="9193" w:type="dxa"/>
        <w:tblInd w:w="-15" w:type="dxa"/>
        <w:tblCellMar>
          <w:left w:w="0" w:type="dxa"/>
          <w:right w:w="0" w:type="dxa"/>
        </w:tblCellMar>
        <w:tblLook w:val="04A0" w:firstRow="1" w:lastRow="0" w:firstColumn="1" w:lastColumn="0" w:noHBand="0" w:noVBand="1"/>
      </w:tblPr>
      <w:tblGrid>
        <w:gridCol w:w="1085"/>
        <w:gridCol w:w="3870"/>
        <w:gridCol w:w="1857"/>
        <w:gridCol w:w="2381"/>
      </w:tblGrid>
      <w:tr w:rsidR="006B063E" w14:paraId="5DA0E374" w14:textId="77777777" w:rsidTr="006B063E">
        <w:trPr>
          <w:trHeight w:val="327"/>
          <w:tblHeader/>
        </w:trPr>
        <w:tc>
          <w:tcPr>
            <w:tcW w:w="1085"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7AD4E6E1"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b/>
                <w:bCs/>
                <w:sz w:val="20"/>
                <w:szCs w:val="20"/>
                <w:lang w:val="en-AU"/>
              </w:rPr>
              <w:t>Country</w:t>
            </w:r>
          </w:p>
        </w:tc>
        <w:tc>
          <w:tcPr>
            <w:tcW w:w="3870" w:type="dxa"/>
            <w:tcBorders>
              <w:top w:val="single" w:sz="8" w:space="0" w:color="auto"/>
              <w:left w:val="nil"/>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54AA3741"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b/>
                <w:bCs/>
                <w:sz w:val="20"/>
                <w:szCs w:val="20"/>
                <w:lang w:val="en-AU"/>
              </w:rPr>
              <w:t>Agency</w:t>
            </w:r>
          </w:p>
        </w:tc>
        <w:tc>
          <w:tcPr>
            <w:tcW w:w="1857" w:type="dxa"/>
            <w:tcBorders>
              <w:top w:val="single" w:sz="8" w:space="0" w:color="auto"/>
              <w:left w:val="nil"/>
              <w:bottom w:val="single" w:sz="8" w:space="0" w:color="auto"/>
              <w:right w:val="single" w:sz="8" w:space="0" w:color="auto"/>
            </w:tcBorders>
            <w:shd w:val="clear" w:color="auto" w:fill="9BBB59"/>
            <w:vAlign w:val="center"/>
            <w:hideMark/>
          </w:tcPr>
          <w:p w14:paraId="211699A6"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b/>
                <w:bCs/>
                <w:sz w:val="20"/>
                <w:szCs w:val="20"/>
                <w:lang w:val="en-AU"/>
              </w:rPr>
              <w:t>Type of approval sought</w:t>
            </w:r>
          </w:p>
        </w:tc>
        <w:tc>
          <w:tcPr>
            <w:tcW w:w="2381" w:type="dxa"/>
            <w:tcBorders>
              <w:top w:val="single" w:sz="8" w:space="0" w:color="auto"/>
              <w:left w:val="nil"/>
              <w:bottom w:val="single" w:sz="8" w:space="0" w:color="auto"/>
              <w:right w:val="single" w:sz="8" w:space="0" w:color="auto"/>
            </w:tcBorders>
            <w:shd w:val="clear" w:color="auto" w:fill="9BBB59"/>
            <w:vAlign w:val="center"/>
            <w:hideMark/>
          </w:tcPr>
          <w:p w14:paraId="7B113165"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b/>
                <w:bCs/>
                <w:sz w:val="20"/>
                <w:szCs w:val="20"/>
                <w:lang w:val="en-AU"/>
              </w:rPr>
              <w:t>Status</w:t>
            </w:r>
          </w:p>
        </w:tc>
      </w:tr>
      <w:tr w:rsidR="006B063E" w14:paraId="04A59415" w14:textId="77777777" w:rsidTr="006B063E">
        <w:trPr>
          <w:trHeight w:val="339"/>
        </w:trPr>
        <w:tc>
          <w:tcPr>
            <w:tcW w:w="1085" w:type="dxa"/>
            <w:vMerge w:val="restart"/>
            <w:tcBorders>
              <w:top w:val="nil"/>
              <w:left w:val="single" w:sz="8" w:space="0" w:color="auto"/>
              <w:bottom w:val="single" w:sz="8" w:space="0" w:color="auto"/>
              <w:right w:val="single" w:sz="8" w:space="0" w:color="auto"/>
            </w:tcBorders>
            <w:shd w:val="clear" w:color="auto" w:fill="EAF1DD"/>
            <w:vAlign w:val="center"/>
            <w:hideMark/>
          </w:tcPr>
          <w:p w14:paraId="0042CB69"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USA</w:t>
            </w: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1D822EB3"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 xml:space="preserve">U.S. Department of Agriculture (USDA) </w:t>
            </w:r>
          </w:p>
        </w:tc>
        <w:tc>
          <w:tcPr>
            <w:tcW w:w="1857" w:type="dxa"/>
            <w:tcBorders>
              <w:top w:val="nil"/>
              <w:left w:val="nil"/>
              <w:bottom w:val="single" w:sz="8" w:space="0" w:color="auto"/>
              <w:right w:val="single" w:sz="8" w:space="0" w:color="auto"/>
            </w:tcBorders>
            <w:shd w:val="clear" w:color="auto" w:fill="EAF1DD"/>
            <w:vAlign w:val="center"/>
            <w:hideMark/>
          </w:tcPr>
          <w:p w14:paraId="26463B4F"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environment</w:t>
            </w:r>
            <w:r w:rsidRPr="006B063E">
              <w:rPr>
                <w:sz w:val="20"/>
                <w:szCs w:val="20"/>
                <w:vertAlign w:val="superscript"/>
                <w:lang w:val="en-AU"/>
              </w:rPr>
              <w:t>1</w:t>
            </w:r>
          </w:p>
        </w:tc>
        <w:tc>
          <w:tcPr>
            <w:tcW w:w="2381" w:type="dxa"/>
            <w:tcBorders>
              <w:top w:val="nil"/>
              <w:left w:val="nil"/>
              <w:bottom w:val="single" w:sz="8" w:space="0" w:color="auto"/>
              <w:right w:val="single" w:sz="8" w:space="0" w:color="auto"/>
            </w:tcBorders>
            <w:shd w:val="clear" w:color="auto" w:fill="EAF1DD"/>
            <w:vAlign w:val="center"/>
            <w:hideMark/>
          </w:tcPr>
          <w:p w14:paraId="6F5E02FD"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Approved 2014</w:t>
            </w:r>
          </w:p>
        </w:tc>
      </w:tr>
      <w:tr w:rsidR="006B063E" w14:paraId="3915193E" w14:textId="77777777" w:rsidTr="006B063E">
        <w:trPr>
          <w:trHeight w:val="506"/>
        </w:trPr>
        <w:tc>
          <w:tcPr>
            <w:tcW w:w="0" w:type="auto"/>
            <w:vMerge/>
            <w:tcBorders>
              <w:top w:val="nil"/>
              <w:left w:val="single" w:sz="8" w:space="0" w:color="auto"/>
              <w:bottom w:val="single" w:sz="8" w:space="0" w:color="auto"/>
              <w:right w:val="single" w:sz="8" w:space="0" w:color="auto"/>
            </w:tcBorders>
            <w:vAlign w:val="center"/>
            <w:hideMark/>
          </w:tcPr>
          <w:p w14:paraId="5F2E99F5" w14:textId="77777777" w:rsidR="006B063E" w:rsidRPr="006B063E" w:rsidRDefault="006B063E">
            <w:pPr>
              <w:rPr>
                <w:rFonts w:eastAsiaTheme="minorHAnsi"/>
                <w:sz w:val="20"/>
                <w:szCs w:val="20"/>
              </w:rPr>
            </w:pP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19D52BEA"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Food &amp; Drug Administration (FDA)</w:t>
            </w:r>
          </w:p>
        </w:tc>
        <w:tc>
          <w:tcPr>
            <w:tcW w:w="1857" w:type="dxa"/>
            <w:tcBorders>
              <w:top w:val="nil"/>
              <w:left w:val="nil"/>
              <w:bottom w:val="single" w:sz="8" w:space="0" w:color="auto"/>
              <w:right w:val="single" w:sz="8" w:space="0" w:color="auto"/>
            </w:tcBorders>
            <w:shd w:val="clear" w:color="auto" w:fill="EAF1DD"/>
            <w:vAlign w:val="center"/>
            <w:hideMark/>
          </w:tcPr>
          <w:p w14:paraId="220276AB"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 &amp; feed</w:t>
            </w:r>
          </w:p>
        </w:tc>
        <w:tc>
          <w:tcPr>
            <w:tcW w:w="2381" w:type="dxa"/>
            <w:tcBorders>
              <w:top w:val="nil"/>
              <w:left w:val="nil"/>
              <w:bottom w:val="single" w:sz="8" w:space="0" w:color="auto"/>
              <w:right w:val="single" w:sz="8" w:space="0" w:color="auto"/>
            </w:tcBorders>
            <w:shd w:val="clear" w:color="auto" w:fill="EAF1DD"/>
            <w:vAlign w:val="center"/>
            <w:hideMark/>
          </w:tcPr>
          <w:p w14:paraId="538F3C9C"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Approved 2015</w:t>
            </w:r>
          </w:p>
        </w:tc>
      </w:tr>
      <w:tr w:rsidR="006B063E" w14:paraId="78C8F0C8" w14:textId="77777777" w:rsidTr="006B063E">
        <w:trPr>
          <w:trHeight w:val="506"/>
        </w:trPr>
        <w:tc>
          <w:tcPr>
            <w:tcW w:w="1085" w:type="dxa"/>
            <w:vMerge w:val="restart"/>
            <w:tcBorders>
              <w:top w:val="nil"/>
              <w:left w:val="single" w:sz="8" w:space="0" w:color="auto"/>
              <w:bottom w:val="single" w:sz="8" w:space="0" w:color="auto"/>
              <w:right w:val="single" w:sz="8" w:space="0" w:color="auto"/>
            </w:tcBorders>
            <w:vAlign w:val="center"/>
            <w:hideMark/>
          </w:tcPr>
          <w:p w14:paraId="797640ED"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lastRenderedPageBreak/>
              <w:t>Canada</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5C965"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Canadian Food Inspection Agency (CFIA)</w:t>
            </w:r>
          </w:p>
        </w:tc>
        <w:tc>
          <w:tcPr>
            <w:tcW w:w="1857" w:type="dxa"/>
            <w:tcBorders>
              <w:top w:val="nil"/>
              <w:left w:val="nil"/>
              <w:bottom w:val="single" w:sz="8" w:space="0" w:color="auto"/>
              <w:right w:val="single" w:sz="8" w:space="0" w:color="auto"/>
            </w:tcBorders>
            <w:vAlign w:val="center"/>
            <w:hideMark/>
          </w:tcPr>
          <w:p w14:paraId="1B2C06EE"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 xml:space="preserve">environment </w:t>
            </w:r>
            <w:r w:rsidRPr="006B063E">
              <w:rPr>
                <w:sz w:val="20"/>
                <w:szCs w:val="20"/>
                <w:lang w:val="en-AU"/>
              </w:rPr>
              <w:br/>
              <w:t>&amp; feed</w:t>
            </w:r>
          </w:p>
        </w:tc>
        <w:tc>
          <w:tcPr>
            <w:tcW w:w="2381" w:type="dxa"/>
            <w:tcBorders>
              <w:top w:val="nil"/>
              <w:left w:val="nil"/>
              <w:bottom w:val="single" w:sz="8" w:space="0" w:color="auto"/>
              <w:right w:val="single" w:sz="8" w:space="0" w:color="auto"/>
            </w:tcBorders>
            <w:vAlign w:val="center"/>
            <w:hideMark/>
          </w:tcPr>
          <w:p w14:paraId="031286C5"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Approved 2016</w:t>
            </w:r>
          </w:p>
        </w:tc>
      </w:tr>
      <w:tr w:rsidR="006B063E" w14:paraId="42A5C612" w14:textId="77777777" w:rsidTr="006B063E">
        <w:trPr>
          <w:trHeight w:val="506"/>
        </w:trPr>
        <w:tc>
          <w:tcPr>
            <w:tcW w:w="0" w:type="auto"/>
            <w:vMerge/>
            <w:tcBorders>
              <w:top w:val="nil"/>
              <w:left w:val="single" w:sz="8" w:space="0" w:color="auto"/>
              <w:bottom w:val="single" w:sz="8" w:space="0" w:color="auto"/>
              <w:right w:val="single" w:sz="8" w:space="0" w:color="auto"/>
            </w:tcBorders>
            <w:vAlign w:val="center"/>
            <w:hideMark/>
          </w:tcPr>
          <w:p w14:paraId="4FCA11DB" w14:textId="77777777" w:rsidR="006B063E" w:rsidRPr="006B063E" w:rsidRDefault="006B063E">
            <w:pPr>
              <w:rPr>
                <w:rFonts w:eastAsiaTheme="minorHAnsi"/>
                <w:sz w:val="20"/>
                <w:szCs w:val="20"/>
              </w:rPr>
            </w:pP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BF03A"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 xml:space="preserve">Health Canada </w:t>
            </w:r>
          </w:p>
        </w:tc>
        <w:tc>
          <w:tcPr>
            <w:tcW w:w="1857" w:type="dxa"/>
            <w:tcBorders>
              <w:top w:val="nil"/>
              <w:left w:val="nil"/>
              <w:bottom w:val="single" w:sz="8" w:space="0" w:color="auto"/>
              <w:right w:val="single" w:sz="8" w:space="0" w:color="auto"/>
            </w:tcBorders>
            <w:vAlign w:val="center"/>
            <w:hideMark/>
          </w:tcPr>
          <w:p w14:paraId="48DBA99A"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w:t>
            </w:r>
          </w:p>
        </w:tc>
        <w:tc>
          <w:tcPr>
            <w:tcW w:w="2381" w:type="dxa"/>
            <w:tcBorders>
              <w:top w:val="nil"/>
              <w:left w:val="nil"/>
              <w:bottom w:val="single" w:sz="8" w:space="0" w:color="auto"/>
              <w:right w:val="single" w:sz="8" w:space="0" w:color="auto"/>
            </w:tcBorders>
            <w:vAlign w:val="center"/>
            <w:hideMark/>
          </w:tcPr>
          <w:p w14:paraId="2E064C31"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Approved 2016</w:t>
            </w:r>
          </w:p>
        </w:tc>
      </w:tr>
      <w:tr w:rsidR="006B063E" w14:paraId="2CFF6049" w14:textId="77777777" w:rsidTr="006B063E">
        <w:trPr>
          <w:trHeight w:val="506"/>
        </w:trPr>
        <w:tc>
          <w:tcPr>
            <w:tcW w:w="1085" w:type="dxa"/>
            <w:vMerge w:val="restart"/>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6CAC8B4F"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Japan</w:t>
            </w: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32694FAF"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Ministry of Health, Labour and Welfare (MHLW)</w:t>
            </w:r>
          </w:p>
        </w:tc>
        <w:tc>
          <w:tcPr>
            <w:tcW w:w="1857" w:type="dxa"/>
            <w:tcBorders>
              <w:top w:val="nil"/>
              <w:left w:val="nil"/>
              <w:bottom w:val="single" w:sz="8" w:space="0" w:color="auto"/>
              <w:right w:val="single" w:sz="8" w:space="0" w:color="auto"/>
            </w:tcBorders>
            <w:shd w:val="clear" w:color="auto" w:fill="EAF1DD"/>
            <w:vAlign w:val="center"/>
            <w:hideMark/>
          </w:tcPr>
          <w:p w14:paraId="0D22BB54"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w:t>
            </w:r>
          </w:p>
        </w:tc>
        <w:tc>
          <w:tcPr>
            <w:tcW w:w="2381" w:type="dxa"/>
            <w:tcBorders>
              <w:top w:val="nil"/>
              <w:left w:val="nil"/>
              <w:bottom w:val="single" w:sz="8" w:space="0" w:color="auto"/>
              <w:right w:val="single" w:sz="8" w:space="0" w:color="auto"/>
            </w:tcBorders>
            <w:shd w:val="clear" w:color="auto" w:fill="EAF1DD"/>
            <w:vAlign w:val="center"/>
            <w:hideMark/>
          </w:tcPr>
          <w:p w14:paraId="08793553"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Under assessment</w:t>
            </w:r>
          </w:p>
        </w:tc>
      </w:tr>
      <w:tr w:rsidR="006B063E" w14:paraId="72F5318E" w14:textId="77777777" w:rsidTr="006B063E">
        <w:trPr>
          <w:trHeight w:val="506"/>
        </w:trPr>
        <w:tc>
          <w:tcPr>
            <w:tcW w:w="0" w:type="auto"/>
            <w:vMerge/>
            <w:tcBorders>
              <w:top w:val="nil"/>
              <w:left w:val="single" w:sz="8" w:space="0" w:color="auto"/>
              <w:bottom w:val="single" w:sz="8" w:space="0" w:color="auto"/>
              <w:right w:val="single" w:sz="8" w:space="0" w:color="auto"/>
            </w:tcBorders>
            <w:vAlign w:val="center"/>
            <w:hideMark/>
          </w:tcPr>
          <w:p w14:paraId="5C1D8DA9" w14:textId="77777777" w:rsidR="006B063E" w:rsidRPr="006B063E" w:rsidRDefault="006B063E">
            <w:pPr>
              <w:rPr>
                <w:rFonts w:eastAsiaTheme="minorHAnsi"/>
                <w:sz w:val="20"/>
                <w:szCs w:val="20"/>
              </w:rPr>
            </w:pP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4D06E9F"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Ministry of Agriculture, Forestry &amp; Fisheries (MAFF)</w:t>
            </w:r>
          </w:p>
        </w:tc>
        <w:tc>
          <w:tcPr>
            <w:tcW w:w="1857" w:type="dxa"/>
            <w:tcBorders>
              <w:top w:val="nil"/>
              <w:left w:val="nil"/>
              <w:bottom w:val="single" w:sz="8" w:space="0" w:color="auto"/>
              <w:right w:val="single" w:sz="8" w:space="0" w:color="auto"/>
            </w:tcBorders>
            <w:shd w:val="clear" w:color="auto" w:fill="EAF1DD"/>
            <w:vAlign w:val="center"/>
            <w:hideMark/>
          </w:tcPr>
          <w:p w14:paraId="7B30CEFB"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feed</w:t>
            </w:r>
          </w:p>
        </w:tc>
        <w:tc>
          <w:tcPr>
            <w:tcW w:w="2381" w:type="dxa"/>
            <w:tcBorders>
              <w:top w:val="nil"/>
              <w:left w:val="nil"/>
              <w:bottom w:val="single" w:sz="8" w:space="0" w:color="auto"/>
              <w:right w:val="single" w:sz="8" w:space="0" w:color="auto"/>
            </w:tcBorders>
            <w:shd w:val="clear" w:color="auto" w:fill="EAF1DD"/>
            <w:vAlign w:val="center"/>
            <w:hideMark/>
          </w:tcPr>
          <w:p w14:paraId="1A8171BD"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Under assessment</w:t>
            </w:r>
          </w:p>
        </w:tc>
      </w:tr>
      <w:tr w:rsidR="006B063E" w14:paraId="7B447C6B" w14:textId="77777777" w:rsidTr="006B063E">
        <w:trPr>
          <w:trHeight w:val="506"/>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B02E1"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Korea</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A59F6"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 xml:space="preserve">Ministry of Food and Drug Safety </w:t>
            </w:r>
          </w:p>
        </w:tc>
        <w:tc>
          <w:tcPr>
            <w:tcW w:w="1857" w:type="dxa"/>
            <w:tcBorders>
              <w:top w:val="nil"/>
              <w:left w:val="nil"/>
              <w:bottom w:val="single" w:sz="8" w:space="0" w:color="auto"/>
              <w:right w:val="single" w:sz="8" w:space="0" w:color="auto"/>
            </w:tcBorders>
            <w:vAlign w:val="center"/>
            <w:hideMark/>
          </w:tcPr>
          <w:p w14:paraId="30CA259C"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 &amp; feed</w:t>
            </w:r>
          </w:p>
        </w:tc>
        <w:tc>
          <w:tcPr>
            <w:tcW w:w="2381" w:type="dxa"/>
            <w:tcBorders>
              <w:top w:val="nil"/>
              <w:left w:val="nil"/>
              <w:bottom w:val="single" w:sz="8" w:space="0" w:color="auto"/>
              <w:right w:val="single" w:sz="8" w:space="0" w:color="auto"/>
            </w:tcBorders>
            <w:vAlign w:val="center"/>
            <w:hideMark/>
          </w:tcPr>
          <w:p w14:paraId="56119315"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Under assessment</w:t>
            </w:r>
          </w:p>
        </w:tc>
      </w:tr>
      <w:tr w:rsidR="006B063E" w14:paraId="34D5D5E4" w14:textId="77777777" w:rsidTr="006B063E">
        <w:trPr>
          <w:trHeight w:val="506"/>
        </w:trPr>
        <w:tc>
          <w:tcPr>
            <w:tcW w:w="108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0D661560"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Mexico</w:t>
            </w: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204ECB22"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Department of Health (COFEPRIS)</w:t>
            </w:r>
          </w:p>
        </w:tc>
        <w:tc>
          <w:tcPr>
            <w:tcW w:w="1857" w:type="dxa"/>
            <w:tcBorders>
              <w:top w:val="nil"/>
              <w:left w:val="nil"/>
              <w:bottom w:val="single" w:sz="8" w:space="0" w:color="auto"/>
              <w:right w:val="single" w:sz="8" w:space="0" w:color="auto"/>
            </w:tcBorders>
            <w:shd w:val="clear" w:color="auto" w:fill="EAF1DD"/>
            <w:vAlign w:val="center"/>
            <w:hideMark/>
          </w:tcPr>
          <w:p w14:paraId="09D3A73B"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 &amp; feed</w:t>
            </w:r>
          </w:p>
        </w:tc>
        <w:tc>
          <w:tcPr>
            <w:tcW w:w="2381" w:type="dxa"/>
            <w:tcBorders>
              <w:top w:val="nil"/>
              <w:left w:val="nil"/>
              <w:bottom w:val="single" w:sz="8" w:space="0" w:color="auto"/>
              <w:right w:val="single" w:sz="8" w:space="0" w:color="auto"/>
            </w:tcBorders>
            <w:shd w:val="clear" w:color="auto" w:fill="EAF1DD"/>
            <w:vAlign w:val="center"/>
            <w:hideMark/>
          </w:tcPr>
          <w:p w14:paraId="17C327AD"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Preparing resubmission</w:t>
            </w:r>
          </w:p>
        </w:tc>
      </w:tr>
      <w:tr w:rsidR="006B063E" w14:paraId="6E56FEA6" w14:textId="77777777" w:rsidTr="006B063E">
        <w:trPr>
          <w:trHeight w:val="506"/>
        </w:trPr>
        <w:tc>
          <w:tcPr>
            <w:tcW w:w="1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B4E98"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China</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2CAA0"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Ministry of Agriculture</w:t>
            </w:r>
          </w:p>
        </w:tc>
        <w:tc>
          <w:tcPr>
            <w:tcW w:w="1857" w:type="dxa"/>
            <w:tcBorders>
              <w:top w:val="nil"/>
              <w:left w:val="nil"/>
              <w:bottom w:val="single" w:sz="8" w:space="0" w:color="auto"/>
              <w:right w:val="single" w:sz="8" w:space="0" w:color="auto"/>
            </w:tcBorders>
            <w:vAlign w:val="center"/>
            <w:hideMark/>
          </w:tcPr>
          <w:p w14:paraId="2FA438D0"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 &amp; feed</w:t>
            </w:r>
          </w:p>
        </w:tc>
        <w:tc>
          <w:tcPr>
            <w:tcW w:w="2381" w:type="dxa"/>
            <w:tcBorders>
              <w:top w:val="nil"/>
              <w:left w:val="nil"/>
              <w:bottom w:val="single" w:sz="8" w:space="0" w:color="auto"/>
              <w:right w:val="single" w:sz="8" w:space="0" w:color="auto"/>
            </w:tcBorders>
            <w:vAlign w:val="center"/>
            <w:hideMark/>
          </w:tcPr>
          <w:p w14:paraId="4A24517D"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Under assessment</w:t>
            </w:r>
          </w:p>
        </w:tc>
      </w:tr>
      <w:tr w:rsidR="006B063E" w14:paraId="1DE37EBF" w14:textId="77777777" w:rsidTr="006B063E">
        <w:trPr>
          <w:trHeight w:val="506"/>
        </w:trPr>
        <w:tc>
          <w:tcPr>
            <w:tcW w:w="1085" w:type="dxa"/>
            <w:tcBorders>
              <w:top w:val="nil"/>
              <w:left w:val="single" w:sz="8" w:space="0" w:color="auto"/>
              <w:bottom w:val="single" w:sz="8" w:space="0" w:color="auto"/>
              <w:right w:val="single" w:sz="8" w:space="0" w:color="auto"/>
            </w:tcBorders>
            <w:shd w:val="clear" w:color="auto" w:fill="EAF1DD"/>
            <w:tcMar>
              <w:top w:w="0" w:type="dxa"/>
              <w:left w:w="108" w:type="dxa"/>
              <w:bottom w:w="0" w:type="dxa"/>
              <w:right w:w="108" w:type="dxa"/>
            </w:tcMar>
            <w:vAlign w:val="center"/>
            <w:hideMark/>
          </w:tcPr>
          <w:p w14:paraId="1A742922"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Taiwan</w:t>
            </w:r>
          </w:p>
        </w:tc>
        <w:tc>
          <w:tcPr>
            <w:tcW w:w="3870"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55AB65E" w14:textId="77777777" w:rsidR="006B063E" w:rsidRPr="006B063E" w:rsidRDefault="006B063E">
            <w:pPr>
              <w:spacing w:before="100" w:beforeAutospacing="1" w:after="100" w:afterAutospacing="1" w:line="252" w:lineRule="auto"/>
              <w:rPr>
                <w:rFonts w:eastAsiaTheme="minorHAnsi"/>
                <w:sz w:val="20"/>
                <w:szCs w:val="20"/>
              </w:rPr>
            </w:pPr>
            <w:r w:rsidRPr="006B063E">
              <w:rPr>
                <w:sz w:val="20"/>
                <w:szCs w:val="20"/>
                <w:lang w:val="en-AU"/>
              </w:rPr>
              <w:t>Taiwan Food &amp; Drug Administration</w:t>
            </w:r>
          </w:p>
        </w:tc>
        <w:tc>
          <w:tcPr>
            <w:tcW w:w="1857" w:type="dxa"/>
            <w:tcBorders>
              <w:top w:val="nil"/>
              <w:left w:val="nil"/>
              <w:bottom w:val="single" w:sz="8" w:space="0" w:color="auto"/>
              <w:right w:val="single" w:sz="8" w:space="0" w:color="auto"/>
            </w:tcBorders>
            <w:shd w:val="clear" w:color="auto" w:fill="EAF1DD"/>
            <w:vAlign w:val="center"/>
            <w:hideMark/>
          </w:tcPr>
          <w:p w14:paraId="34133D1E"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food</w:t>
            </w:r>
          </w:p>
        </w:tc>
        <w:tc>
          <w:tcPr>
            <w:tcW w:w="2381" w:type="dxa"/>
            <w:tcBorders>
              <w:top w:val="nil"/>
              <w:left w:val="nil"/>
              <w:bottom w:val="single" w:sz="8" w:space="0" w:color="auto"/>
              <w:right w:val="single" w:sz="8" w:space="0" w:color="auto"/>
            </w:tcBorders>
            <w:shd w:val="clear" w:color="auto" w:fill="EAF1DD"/>
            <w:vAlign w:val="center"/>
            <w:hideMark/>
          </w:tcPr>
          <w:p w14:paraId="611C833C" w14:textId="77777777" w:rsidR="006B063E" w:rsidRPr="006B063E" w:rsidRDefault="006B063E">
            <w:pPr>
              <w:spacing w:before="100" w:beforeAutospacing="1" w:after="100" w:afterAutospacing="1" w:line="252" w:lineRule="auto"/>
              <w:jc w:val="center"/>
              <w:rPr>
                <w:rFonts w:eastAsiaTheme="minorHAnsi"/>
                <w:sz w:val="20"/>
                <w:szCs w:val="20"/>
              </w:rPr>
            </w:pPr>
            <w:r w:rsidRPr="006B063E">
              <w:rPr>
                <w:sz w:val="20"/>
                <w:szCs w:val="20"/>
                <w:lang w:val="en-AU"/>
              </w:rPr>
              <w:t>Under assessment</w:t>
            </w:r>
          </w:p>
        </w:tc>
      </w:tr>
    </w:tbl>
    <w:p w14:paraId="692B6300" w14:textId="77777777" w:rsidR="00F6217E" w:rsidRPr="001E0CD5" w:rsidRDefault="00F6217E" w:rsidP="00F6217E">
      <w:pPr>
        <w:pStyle w:val="Heading3"/>
        <w:spacing w:before="0"/>
        <w:rPr>
          <w:rFonts w:eastAsia="Batang"/>
          <w:b w:val="0"/>
          <w:sz w:val="20"/>
          <w:szCs w:val="20"/>
        </w:rPr>
      </w:pPr>
      <w:bookmarkStart w:id="93" w:name="_Toc463450502"/>
      <w:r w:rsidRPr="001E0CD5">
        <w:rPr>
          <w:rFonts w:eastAsia="Batang"/>
          <w:b w:val="0"/>
          <w:sz w:val="20"/>
          <w:szCs w:val="20"/>
          <w:vertAlign w:val="superscript"/>
        </w:rPr>
        <w:t>1</w:t>
      </w:r>
      <w:r w:rsidRPr="001E0CD5">
        <w:rPr>
          <w:rFonts w:eastAsia="Batang"/>
          <w:b w:val="0"/>
          <w:sz w:val="20"/>
          <w:szCs w:val="20"/>
        </w:rPr>
        <w:t>an authorisation for ‘environment’ indicates the line can be grown commercially in that country.</w:t>
      </w:r>
      <w:bookmarkEnd w:id="93"/>
    </w:p>
    <w:p w14:paraId="7EF47CF0" w14:textId="77777777" w:rsidR="002C1A3B" w:rsidRPr="00756A52" w:rsidRDefault="002C1A3B" w:rsidP="002C1A3B">
      <w:pPr>
        <w:pStyle w:val="Heading3"/>
      </w:pPr>
      <w:bookmarkStart w:id="94" w:name="_Toc463450503"/>
      <w:r w:rsidRPr="00756A52">
        <w:t>2.5.2.</w:t>
      </w:r>
      <w:r w:rsidRPr="00756A52">
        <w:tab/>
        <w:t>Subsection 18(1)</w:t>
      </w:r>
      <w:bookmarkEnd w:id="89"/>
      <w:bookmarkEnd w:id="90"/>
      <w:bookmarkEnd w:id="94"/>
      <w:r w:rsidRPr="00756A52">
        <w:t xml:space="preserve"> </w:t>
      </w:r>
      <w:bookmarkEnd w:id="91"/>
      <w:bookmarkEnd w:id="92"/>
    </w:p>
    <w:p w14:paraId="046A129B" w14:textId="77777777" w:rsidR="002C1A3B" w:rsidRPr="00756A52" w:rsidRDefault="002C1A3B" w:rsidP="002C1A3B">
      <w:r w:rsidRPr="00756A52">
        <w:rPr>
          <w:rFonts w:cs="Arial"/>
        </w:rPr>
        <w:t xml:space="preserve">FSANZ has also </w:t>
      </w:r>
      <w:r w:rsidRPr="00756A52">
        <w:t>considered the three objectives in subsection 18(1) of the FSANZ Act during the assessment.</w:t>
      </w:r>
    </w:p>
    <w:p w14:paraId="74586ABE" w14:textId="77777777" w:rsidR="002C1A3B" w:rsidRPr="00756A52" w:rsidRDefault="002C1A3B" w:rsidP="002C1A3B">
      <w:pPr>
        <w:pStyle w:val="Heading4"/>
        <w:rPr>
          <w:lang w:eastAsia="en-AU"/>
        </w:rPr>
      </w:pPr>
      <w:bookmarkStart w:id="95" w:name="_Toc297029117"/>
      <w:bookmarkStart w:id="96" w:name="_Toc300761898"/>
      <w:bookmarkStart w:id="97" w:name="_Toc300933441"/>
      <w:r w:rsidRPr="00756A52">
        <w:rPr>
          <w:lang w:eastAsia="en-AU"/>
        </w:rPr>
        <w:t>2.5.2.1</w:t>
      </w:r>
      <w:r w:rsidRPr="00756A52">
        <w:rPr>
          <w:lang w:eastAsia="en-AU"/>
        </w:rPr>
        <w:tab/>
        <w:t>Protection of public health and safety</w:t>
      </w:r>
      <w:bookmarkEnd w:id="95"/>
      <w:bookmarkEnd w:id="96"/>
      <w:bookmarkEnd w:id="97"/>
    </w:p>
    <w:p w14:paraId="6046A7D4" w14:textId="1DA68818" w:rsidR="00F6217E" w:rsidRPr="00DA1ABB" w:rsidRDefault="00F6217E" w:rsidP="00F6217E">
      <w:pPr>
        <w:rPr>
          <w:color w:val="000000" w:themeColor="text1"/>
        </w:rPr>
      </w:pPr>
      <w:bookmarkStart w:id="98" w:name="_Toc300761899"/>
      <w:bookmarkStart w:id="99" w:name="_Toc300933442"/>
      <w:r>
        <w:rPr>
          <w:color w:val="000000" w:themeColor="text1"/>
        </w:rPr>
        <w:t>Food derived from E12 was</w:t>
      </w:r>
      <w:r w:rsidRPr="00DA1ABB">
        <w:rPr>
          <w:color w:val="000000" w:themeColor="text1"/>
        </w:rPr>
        <w:t xml:space="preserve"> assessed according to </w:t>
      </w:r>
      <w:r>
        <w:rPr>
          <w:color w:val="000000" w:themeColor="text1"/>
        </w:rPr>
        <w:t>the safety assessment guidelines</w:t>
      </w:r>
      <w:r w:rsidRPr="00DA1ABB">
        <w:rPr>
          <w:color w:val="000000" w:themeColor="text1"/>
        </w:rPr>
        <w:t xml:space="preserve"> prepared by FSANZ </w:t>
      </w:r>
      <w:r w:rsidRPr="00DA1ABB">
        <w:rPr>
          <w:color w:val="000000" w:themeColor="text1"/>
        </w:rPr>
        <w:fldChar w:fldCharType="begin"/>
      </w:r>
      <w:r w:rsidR="00A258B8">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sidRPr="00DA1ABB">
        <w:rPr>
          <w:color w:val="000000" w:themeColor="text1"/>
        </w:rPr>
        <w:fldChar w:fldCharType="separate"/>
      </w:r>
      <w:r w:rsidRPr="00DA1ABB">
        <w:rPr>
          <w:noProof/>
          <w:color w:val="000000" w:themeColor="text1"/>
        </w:rPr>
        <w:t>(2007)</w:t>
      </w:r>
      <w:r w:rsidRPr="00DA1ABB">
        <w:rPr>
          <w:color w:val="000000" w:themeColor="text1"/>
        </w:rPr>
        <w:fldChar w:fldCharType="end"/>
      </w:r>
      <w:r w:rsidRPr="00DA1ABB">
        <w:rPr>
          <w:color w:val="000000" w:themeColor="text1"/>
        </w:rPr>
        <w:t>. No public health and safety concerns were identified in this assessment. Based on the available evidence, including detailed studies provided by the Applicant, food derived from E12 is considered as safe and wholesome as food derived from other commercial potato cultivars.</w:t>
      </w:r>
    </w:p>
    <w:p w14:paraId="57D505B7" w14:textId="4BAA9F9B" w:rsidR="002C1A3B" w:rsidRPr="00756A52" w:rsidRDefault="002C1A3B" w:rsidP="002C1A3B">
      <w:pPr>
        <w:pStyle w:val="Heading4"/>
        <w:rPr>
          <w:lang w:eastAsia="en-AU"/>
        </w:rPr>
      </w:pPr>
      <w:r w:rsidRPr="00756A52">
        <w:rPr>
          <w:lang w:eastAsia="en-AU"/>
        </w:rPr>
        <w:t>2.5.2.2</w:t>
      </w:r>
      <w:r w:rsidRPr="00756A52">
        <w:rPr>
          <w:lang w:eastAsia="en-AU"/>
        </w:rPr>
        <w:tab/>
        <w:t>The provision of adequate information relating to food to enable consumers to make informed choices</w:t>
      </w:r>
      <w:bookmarkEnd w:id="98"/>
      <w:bookmarkEnd w:id="99"/>
    </w:p>
    <w:p w14:paraId="56A2417B" w14:textId="12E576BB" w:rsidR="00F6217E" w:rsidRPr="00DA1ABB" w:rsidRDefault="00F6217E" w:rsidP="00F6217E">
      <w:pPr>
        <w:rPr>
          <w:b/>
          <w:bCs/>
          <w:color w:val="000000" w:themeColor="text1"/>
        </w:rPr>
      </w:pPr>
      <w:bookmarkStart w:id="100" w:name="_Toc300761900"/>
      <w:bookmarkStart w:id="101" w:name="_Toc300933443"/>
      <w:r w:rsidRPr="00DA1ABB">
        <w:rPr>
          <w:color w:val="000000" w:themeColor="text1"/>
        </w:rPr>
        <w:t xml:space="preserve">In accordance with existing labelling provisions to enable informed consumer choice, food derived from E12 would have to be labelled as ‘genetically modified’ if it contains novel DNA </w:t>
      </w:r>
      <w:r w:rsidR="005B70C3" w:rsidRPr="00183B79">
        <w:rPr>
          <w:color w:val="000000" w:themeColor="text1"/>
        </w:rPr>
        <w:t>(see s</w:t>
      </w:r>
      <w:r w:rsidRPr="00183B79">
        <w:rPr>
          <w:color w:val="000000" w:themeColor="text1"/>
        </w:rPr>
        <w:t>ection 2.3.1).</w:t>
      </w:r>
      <w:r w:rsidRPr="00DA1ABB">
        <w:rPr>
          <w:color w:val="000000" w:themeColor="text1"/>
        </w:rPr>
        <w:t xml:space="preserve"> </w:t>
      </w:r>
    </w:p>
    <w:p w14:paraId="69107675" w14:textId="0A8EEF8E" w:rsidR="002C1A3B" w:rsidRPr="00756A52" w:rsidRDefault="002C1A3B" w:rsidP="002C1A3B">
      <w:pPr>
        <w:pStyle w:val="Heading4"/>
        <w:rPr>
          <w:lang w:eastAsia="en-AU"/>
        </w:rPr>
      </w:pPr>
      <w:r w:rsidRPr="00756A52">
        <w:rPr>
          <w:lang w:eastAsia="en-AU"/>
        </w:rPr>
        <w:t>2.5.2.3</w:t>
      </w:r>
      <w:r w:rsidRPr="00756A52">
        <w:rPr>
          <w:lang w:eastAsia="en-AU"/>
        </w:rPr>
        <w:tab/>
        <w:t>The prevention of misleading or deceptive conduct</w:t>
      </w:r>
      <w:bookmarkEnd w:id="100"/>
      <w:bookmarkEnd w:id="101"/>
    </w:p>
    <w:p w14:paraId="379D6642" w14:textId="71A8566D" w:rsidR="000C17AA" w:rsidRPr="00756A52" w:rsidRDefault="000C17AA" w:rsidP="000C17AA">
      <w:pPr>
        <w:rPr>
          <w:lang w:eastAsia="en-AU"/>
        </w:rPr>
      </w:pPr>
      <w:bookmarkStart w:id="102" w:name="_Toc300761901"/>
      <w:bookmarkStart w:id="103" w:name="_Toc300933444"/>
      <w:bookmarkStart w:id="104" w:name="_Toc370223480"/>
      <w:bookmarkStart w:id="105" w:name="_Toc370225395"/>
      <w:r w:rsidRPr="00756A52">
        <w:rPr>
          <w:lang w:eastAsia="en-AU"/>
        </w:rPr>
        <w:t xml:space="preserve">The requirement for detection </w:t>
      </w:r>
      <w:r w:rsidRPr="00183B79">
        <w:rPr>
          <w:lang w:eastAsia="en-AU"/>
        </w:rPr>
        <w:t>met</w:t>
      </w:r>
      <w:r w:rsidR="00F6217E" w:rsidRPr="00183B79">
        <w:rPr>
          <w:lang w:eastAsia="en-AU"/>
        </w:rPr>
        <w:t xml:space="preserve">hodology (see section 2.3.2) </w:t>
      </w:r>
      <w:r w:rsidRPr="00183B79">
        <w:rPr>
          <w:lang w:eastAsia="en-AU"/>
        </w:rPr>
        <w:t>address</w:t>
      </w:r>
      <w:r w:rsidR="00F6217E" w:rsidRPr="00183B79">
        <w:rPr>
          <w:lang w:eastAsia="en-AU"/>
        </w:rPr>
        <w:t>es</w:t>
      </w:r>
      <w:r w:rsidRPr="00756A52">
        <w:rPr>
          <w:lang w:eastAsia="en-AU"/>
        </w:rPr>
        <w:t xml:space="preserve"> this objective.</w:t>
      </w:r>
    </w:p>
    <w:p w14:paraId="2C68C034" w14:textId="77777777" w:rsidR="002C1A3B" w:rsidRPr="00756A52" w:rsidRDefault="002C1A3B" w:rsidP="002C1A3B">
      <w:pPr>
        <w:keepNext/>
        <w:spacing w:before="240" w:after="240"/>
        <w:ind w:left="851" w:hanging="851"/>
        <w:outlineLvl w:val="2"/>
        <w:rPr>
          <w:b/>
          <w:bCs/>
          <w:lang w:eastAsia="en-AU" w:bidi="ar-SA"/>
        </w:rPr>
      </w:pPr>
      <w:r w:rsidRPr="00756A52">
        <w:rPr>
          <w:b/>
          <w:bCs/>
          <w:lang w:eastAsia="en-AU" w:bidi="ar-SA"/>
        </w:rPr>
        <w:t>2.5.3</w:t>
      </w:r>
      <w:r w:rsidRPr="00756A52">
        <w:rPr>
          <w:b/>
          <w:bCs/>
          <w:lang w:eastAsia="en-AU" w:bidi="ar-SA"/>
        </w:rPr>
        <w:tab/>
        <w:t xml:space="preserve">Subsection 18(2) </w:t>
      </w:r>
      <w:bookmarkEnd w:id="102"/>
      <w:bookmarkEnd w:id="103"/>
      <w:r w:rsidRPr="00756A52">
        <w:rPr>
          <w:b/>
          <w:bCs/>
          <w:lang w:eastAsia="en-AU" w:bidi="ar-SA"/>
        </w:rPr>
        <w:t>considerations</w:t>
      </w:r>
      <w:bookmarkEnd w:id="104"/>
      <w:bookmarkEnd w:id="105"/>
    </w:p>
    <w:p w14:paraId="49A256A5" w14:textId="77777777" w:rsidR="000C17AA" w:rsidRPr="00756A52" w:rsidRDefault="000C17AA" w:rsidP="000C17AA">
      <w:pPr>
        <w:rPr>
          <w:rFonts w:cs="Arial"/>
        </w:rPr>
      </w:pPr>
      <w:r w:rsidRPr="00756A52">
        <w:rPr>
          <w:rFonts w:cs="Arial"/>
        </w:rPr>
        <w:t>FSANZ has also had regard to:</w:t>
      </w:r>
    </w:p>
    <w:p w14:paraId="4B7723E7" w14:textId="328974B6" w:rsidR="00B821A5" w:rsidRPr="00756A52" w:rsidRDefault="00B821A5" w:rsidP="00C05311">
      <w:pPr>
        <w:pStyle w:val="FSBullet1"/>
        <w:numPr>
          <w:ilvl w:val="0"/>
          <w:numId w:val="0"/>
        </w:numPr>
        <w:rPr>
          <w:b/>
        </w:rPr>
      </w:pPr>
    </w:p>
    <w:p w14:paraId="5D82EF40" w14:textId="5483483D" w:rsidR="000C17AA" w:rsidRPr="00756A52" w:rsidRDefault="000C17AA" w:rsidP="000C17AA">
      <w:pPr>
        <w:pStyle w:val="FSBullet1"/>
        <w:rPr>
          <w:b/>
        </w:rPr>
      </w:pPr>
      <w:r w:rsidRPr="00756A52">
        <w:rPr>
          <w:b/>
        </w:rPr>
        <w:t>the need for standards to be based on risk analysis using the best available scientific evidence</w:t>
      </w:r>
    </w:p>
    <w:p w14:paraId="7AD4DEA4" w14:textId="77777777" w:rsidR="00745D58" w:rsidRPr="00756A52" w:rsidRDefault="00745D58" w:rsidP="00EA5FEB">
      <w:pPr>
        <w:rPr>
          <w:lang w:bidi="ar-SA"/>
        </w:rPr>
      </w:pPr>
    </w:p>
    <w:p w14:paraId="3EC7EBD5" w14:textId="77777777" w:rsidR="007C31FF" w:rsidRDefault="00F6217E" w:rsidP="00F6217E">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sidRPr="00DA1ABB">
        <w:rPr>
          <w:color w:val="000000" w:themeColor="text1"/>
        </w:rPr>
        <w:fldChar w:fldCharType="begin"/>
      </w:r>
      <w:r w:rsidR="00A258B8">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biotechnology&lt;/Title_Primary&gt;&lt;Authors_Primary&gt;Codex&lt;/Authors_Primary&gt;&lt;Date_Primary&gt;2004&lt;/Date_Primary&gt;&lt;Keywords&gt;analysis&lt;/Keywords&gt;&lt;Keywords&gt;Biotechnology&lt;/Keywords&gt;&lt;Keywords&gt;regulation&lt;/Keywords&gt;&lt;Reprint&gt;In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sidRPr="00DA1ABB">
        <w:rPr>
          <w:color w:val="000000" w:themeColor="text1"/>
        </w:rPr>
        <w:fldChar w:fldCharType="separate"/>
      </w:r>
      <w:r w:rsidRPr="00DA1ABB">
        <w:rPr>
          <w:noProof/>
          <w:color w:val="000000" w:themeColor="text1"/>
        </w:rPr>
        <w:t>(Codex 2004)</w:t>
      </w:r>
      <w:r w:rsidRPr="00DA1ABB">
        <w:rPr>
          <w:color w:val="000000" w:themeColor="text1"/>
        </w:rPr>
        <w:fldChar w:fldCharType="end"/>
      </w:r>
      <w:r w:rsidRPr="00DA1ABB">
        <w:rPr>
          <w:color w:val="000000" w:themeColor="text1"/>
        </w:rPr>
        <w:t xml:space="preserve">. Based on these principles, the risk analysis undertaken for E12 used the best scientific evidence available. </w:t>
      </w:r>
      <w:r w:rsidR="007C31FF">
        <w:rPr>
          <w:color w:val="000000" w:themeColor="text1"/>
        </w:rPr>
        <w:br w:type="page"/>
      </w:r>
    </w:p>
    <w:p w14:paraId="3716D75A" w14:textId="52205E21" w:rsidR="00F6217E" w:rsidRPr="00DA1ABB" w:rsidRDefault="00F6217E" w:rsidP="00F6217E">
      <w:pPr>
        <w:rPr>
          <w:color w:val="000000" w:themeColor="text1"/>
        </w:rPr>
      </w:pPr>
      <w:r w:rsidRPr="00DA1ABB">
        <w:rPr>
          <w:color w:val="000000" w:themeColor="text1"/>
        </w:rPr>
        <w:lastRenderedPageBreak/>
        <w:t>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7FF3D19B" w14:textId="77777777" w:rsidR="000C17AA" w:rsidRPr="00756A52" w:rsidRDefault="000C17AA" w:rsidP="000C17AA">
      <w:pPr>
        <w:rPr>
          <w:lang w:bidi="ar-SA"/>
        </w:rPr>
      </w:pPr>
    </w:p>
    <w:p w14:paraId="47BD18AD" w14:textId="77777777" w:rsidR="000C17AA" w:rsidRPr="00756A52" w:rsidRDefault="000C17AA" w:rsidP="000C17AA">
      <w:pPr>
        <w:pStyle w:val="FSBullet1"/>
        <w:rPr>
          <w:b/>
        </w:rPr>
      </w:pPr>
      <w:r w:rsidRPr="00756A52">
        <w:rPr>
          <w:b/>
        </w:rPr>
        <w:t>the promotion of consistency between domestic and international food standards</w:t>
      </w:r>
    </w:p>
    <w:p w14:paraId="3C6877F2" w14:textId="77777777" w:rsidR="000C17AA" w:rsidRPr="00756A52" w:rsidRDefault="000C17AA" w:rsidP="000C17AA">
      <w:pPr>
        <w:rPr>
          <w:lang w:bidi="ar-SA"/>
        </w:rPr>
      </w:pPr>
    </w:p>
    <w:p w14:paraId="0ECE4341" w14:textId="77777777" w:rsidR="000C17AA" w:rsidRPr="00756A52" w:rsidRDefault="000C17AA" w:rsidP="000C17AA">
      <w:r w:rsidRPr="00756A52">
        <w:t>This is not a consideration as there are no relevant international standards.</w:t>
      </w:r>
    </w:p>
    <w:p w14:paraId="19F6BAE7" w14:textId="77777777" w:rsidR="000C17AA" w:rsidRPr="00756A52" w:rsidRDefault="000C17AA" w:rsidP="000C17AA">
      <w:pPr>
        <w:rPr>
          <w:lang w:bidi="ar-SA"/>
        </w:rPr>
      </w:pPr>
    </w:p>
    <w:p w14:paraId="296D02CA" w14:textId="77777777" w:rsidR="000C17AA" w:rsidRPr="00756A52" w:rsidRDefault="000C17AA" w:rsidP="000C17AA">
      <w:pPr>
        <w:pStyle w:val="FSBullet1"/>
        <w:rPr>
          <w:b/>
        </w:rPr>
      </w:pPr>
      <w:r w:rsidRPr="00756A52">
        <w:rPr>
          <w:b/>
        </w:rPr>
        <w:t>the desirability of an efficient and internationally competitive food industry</w:t>
      </w:r>
    </w:p>
    <w:p w14:paraId="5610D52D" w14:textId="77777777" w:rsidR="000C17AA" w:rsidRPr="00756A52" w:rsidRDefault="000C17AA" w:rsidP="000C17AA">
      <w:pPr>
        <w:rPr>
          <w:lang w:bidi="ar-SA"/>
        </w:rPr>
      </w:pPr>
    </w:p>
    <w:p w14:paraId="6B16C682" w14:textId="77777777" w:rsidR="00F6217E" w:rsidRPr="00DA1ABB" w:rsidRDefault="00F6217E" w:rsidP="00F6217E">
      <w:pPr>
        <w:rPr>
          <w:color w:val="000000" w:themeColor="text1"/>
        </w:rPr>
      </w:pPr>
      <w:r w:rsidRPr="00DA1ABB">
        <w:rPr>
          <w:color w:val="000000" w:themeColor="text1"/>
        </w:rPr>
        <w:t xml:space="preserve">The inclusion of GM foods in the food supply, providing there are no safety concerns, allows for innovation by developers and a widening of the technological base for the production of foods. E12 is a new food crop designed to reduce blackspot bruising in raw potatoes and acrylamide levels in cooked potato products. The Applicant has indicated that reduced blackspot bruising can reduce wastage during storage and processing of potatoes, and that reduced acrylamide levels may provide potential health benefits to consumers. </w:t>
      </w:r>
    </w:p>
    <w:p w14:paraId="451AD988" w14:textId="77777777" w:rsidR="000C17AA" w:rsidRPr="00756A52" w:rsidRDefault="000C17AA" w:rsidP="000C17AA">
      <w:pPr>
        <w:rPr>
          <w:lang w:bidi="ar-SA"/>
        </w:rPr>
      </w:pPr>
    </w:p>
    <w:p w14:paraId="321816C4" w14:textId="77777777" w:rsidR="000C17AA" w:rsidRPr="00756A52" w:rsidRDefault="000C17AA" w:rsidP="000C17AA">
      <w:pPr>
        <w:pStyle w:val="FSBullet1"/>
        <w:rPr>
          <w:b/>
        </w:rPr>
      </w:pPr>
      <w:r w:rsidRPr="00756A52">
        <w:rPr>
          <w:b/>
        </w:rPr>
        <w:t>the promotion of fair trading in food</w:t>
      </w:r>
    </w:p>
    <w:p w14:paraId="612E274E" w14:textId="77777777" w:rsidR="000C17AA" w:rsidRPr="00756A52" w:rsidRDefault="000C17AA" w:rsidP="000C17AA">
      <w:pPr>
        <w:rPr>
          <w:lang w:bidi="ar-SA"/>
        </w:rPr>
      </w:pPr>
    </w:p>
    <w:p w14:paraId="42A6CDD4" w14:textId="0F7FDCDC" w:rsidR="000C17AA" w:rsidRPr="00756A52" w:rsidRDefault="00001991" w:rsidP="000C17AA">
      <w:r w:rsidRPr="00756A52">
        <w:t>Not applicable</w:t>
      </w:r>
      <w:r w:rsidR="0020341A" w:rsidRPr="00756A52">
        <w:t>.</w:t>
      </w:r>
    </w:p>
    <w:p w14:paraId="14330679" w14:textId="77777777" w:rsidR="000C17AA" w:rsidRPr="00756A52" w:rsidRDefault="000C17AA" w:rsidP="000C17AA">
      <w:pPr>
        <w:rPr>
          <w:lang w:bidi="ar-SA"/>
        </w:rPr>
      </w:pPr>
    </w:p>
    <w:p w14:paraId="048C1C3D" w14:textId="54CFB6A0" w:rsidR="000C17AA" w:rsidRPr="00756A52" w:rsidRDefault="000C17AA" w:rsidP="000C17AA">
      <w:pPr>
        <w:pStyle w:val="FSBullet1"/>
        <w:rPr>
          <w:b/>
        </w:rPr>
      </w:pPr>
      <w:r w:rsidRPr="00756A52">
        <w:rPr>
          <w:b/>
        </w:rPr>
        <w:t>any written policy guidelines formulated by the</w:t>
      </w:r>
      <w:r w:rsidR="00C96B5A" w:rsidRPr="00756A52">
        <w:rPr>
          <w:b/>
        </w:rPr>
        <w:t xml:space="preserve"> Forum on Food Regulation</w:t>
      </w:r>
    </w:p>
    <w:p w14:paraId="0E240031" w14:textId="77777777" w:rsidR="000C17AA" w:rsidRPr="00756A52" w:rsidRDefault="000C17AA" w:rsidP="000C17AA">
      <w:pPr>
        <w:rPr>
          <w:lang w:bidi="ar-SA"/>
        </w:rPr>
      </w:pPr>
    </w:p>
    <w:p w14:paraId="636A57F0" w14:textId="77777777" w:rsidR="00B0301E" w:rsidRDefault="000C17AA" w:rsidP="00B0301E">
      <w:pPr>
        <w:rPr>
          <w:i/>
        </w:rPr>
      </w:pPr>
      <w:r w:rsidRPr="00756A52">
        <w:rPr>
          <w:lang w:val="en-US"/>
        </w:rPr>
        <w:t>No specific policy guidelines have been developed since Standard 1.5.2 commenced</w:t>
      </w:r>
      <w:r w:rsidRPr="00756A52">
        <w:rPr>
          <w:i/>
        </w:rPr>
        <w:t>.</w:t>
      </w:r>
      <w:bookmarkStart w:id="106" w:name="_Toc11735643"/>
      <w:bookmarkStart w:id="107" w:name="_Toc29883130"/>
      <w:bookmarkStart w:id="108" w:name="_Toc41906817"/>
      <w:bookmarkStart w:id="109" w:name="_Toc41907564"/>
      <w:bookmarkStart w:id="110" w:name="_Toc43112360"/>
      <w:bookmarkEnd w:id="84"/>
    </w:p>
    <w:p w14:paraId="2E566A55" w14:textId="25C2ED99" w:rsidR="00A258B8" w:rsidRPr="007C31FF" w:rsidRDefault="005B70C3" w:rsidP="007C31FF">
      <w:pPr>
        <w:pStyle w:val="Heading2"/>
        <w:rPr>
          <w:b w:val="0"/>
          <w:noProof/>
          <w:sz w:val="20"/>
          <w:szCs w:val="20"/>
        </w:rPr>
      </w:pPr>
      <w:bookmarkStart w:id="111" w:name="_Toc463450504"/>
      <w:r w:rsidRPr="00183B79">
        <w:t>3</w:t>
      </w:r>
      <w:r w:rsidR="00B0301E" w:rsidRPr="00183B79">
        <w:tab/>
      </w:r>
      <w:r w:rsidR="00D21BBF" w:rsidRPr="00183B79">
        <w:t>References</w:t>
      </w:r>
      <w:bookmarkEnd w:id="111"/>
      <w:r w:rsidR="000C17AA" w:rsidRPr="00A258B8">
        <w:rPr>
          <w:b w:val="0"/>
          <w:sz w:val="20"/>
          <w:szCs w:val="20"/>
        </w:rPr>
        <w:fldChar w:fldCharType="begin"/>
      </w:r>
      <w:r w:rsidR="000C17AA" w:rsidRPr="00A258B8">
        <w:rPr>
          <w:b w:val="0"/>
          <w:sz w:val="20"/>
          <w:szCs w:val="20"/>
        </w:rPr>
        <w:instrText xml:space="preserve"> ADDIN REFMGR.REFLIST </w:instrText>
      </w:r>
      <w:r w:rsidR="000C17AA" w:rsidRPr="00A258B8">
        <w:rPr>
          <w:b w:val="0"/>
          <w:sz w:val="20"/>
          <w:szCs w:val="20"/>
        </w:rPr>
        <w:fldChar w:fldCharType="separate"/>
      </w:r>
    </w:p>
    <w:p w14:paraId="048B143E" w14:textId="77777777" w:rsidR="00A258B8" w:rsidRPr="007C31FF" w:rsidRDefault="00A258B8" w:rsidP="007C31FF">
      <w:pPr>
        <w:spacing w:before="240" w:after="240"/>
        <w:rPr>
          <w:b/>
          <w:noProof/>
          <w:sz w:val="20"/>
          <w:szCs w:val="20"/>
        </w:rPr>
      </w:pPr>
      <w:r w:rsidRPr="007C31FF">
        <w:rPr>
          <w:noProof/>
          <w:sz w:val="20"/>
          <w:szCs w:val="20"/>
        </w:rPr>
        <w:t>Bartholomaeus A, Parrott W, Bondy G, Walker K (2013) The use of whole food animal studies in the safety assessment of genetically modified crops: Limitations and recommendations. Critical Reviews in Toxicology 43(S2):1–24</w:t>
      </w:r>
    </w:p>
    <w:p w14:paraId="465CFC19" w14:textId="766FE47B" w:rsidR="00A258B8" w:rsidRPr="007C31FF" w:rsidRDefault="00A258B8" w:rsidP="007C31FF">
      <w:pPr>
        <w:spacing w:before="240" w:after="240"/>
        <w:rPr>
          <w:b/>
          <w:noProof/>
          <w:sz w:val="20"/>
          <w:szCs w:val="20"/>
        </w:rPr>
      </w:pPr>
      <w:r w:rsidRPr="007C31FF">
        <w:rPr>
          <w:noProof/>
          <w:sz w:val="20"/>
          <w:szCs w:val="20"/>
        </w:rPr>
        <w:t xml:space="preserve">Codex (2004) Principles for the risk analysis of foods derived from modern biotechnology. CAC/GL 44-2003. Codex Alimentarius Commission, Rome. </w:t>
      </w:r>
      <w:hyperlink r:id="rId24" w:history="1">
        <w:r w:rsidRPr="007C31FF">
          <w:rPr>
            <w:rStyle w:val="Hyperlink"/>
            <w:noProof/>
            <w:sz w:val="20"/>
            <w:szCs w:val="20"/>
          </w:rPr>
          <w:t>http://www.codexalimentarius.net/web/standard_list.do?lang=en</w:t>
        </w:r>
      </w:hyperlink>
    </w:p>
    <w:p w14:paraId="2FC54C24" w14:textId="50B3D4D0" w:rsidR="00A258B8" w:rsidRPr="007C31FF" w:rsidRDefault="00A258B8" w:rsidP="007C31FF">
      <w:pPr>
        <w:spacing w:before="240" w:after="240"/>
        <w:rPr>
          <w:b/>
          <w:noProof/>
          <w:sz w:val="20"/>
          <w:szCs w:val="20"/>
        </w:rPr>
      </w:pPr>
      <w:r w:rsidRPr="007C31FF">
        <w:rPr>
          <w:noProof/>
          <w:sz w:val="20"/>
          <w:szCs w:val="20"/>
        </w:rPr>
        <w:t xml:space="preserve">Codex (2009) Foods derived from modern biotechnology, 2nd edition. Codex Alimentarius Commission, Joint FAO/WHO Food Standards Programme, Food and Agriculture Organization of the United Nations, Rome. </w:t>
      </w:r>
      <w:hyperlink r:id="rId25" w:history="1">
        <w:r w:rsidRPr="007C31FF">
          <w:rPr>
            <w:rStyle w:val="Hyperlink"/>
            <w:noProof/>
            <w:sz w:val="20"/>
            <w:szCs w:val="20"/>
          </w:rPr>
          <w:t>http://www.codexalimentarius.org/standards/thematic-publications/</w:t>
        </w:r>
      </w:hyperlink>
    </w:p>
    <w:p w14:paraId="529B101D" w14:textId="0FA17107" w:rsidR="00A258B8" w:rsidRPr="007C31FF" w:rsidRDefault="00A258B8" w:rsidP="007C31FF">
      <w:pPr>
        <w:spacing w:before="240" w:after="240"/>
        <w:rPr>
          <w:b/>
          <w:noProof/>
          <w:sz w:val="20"/>
          <w:szCs w:val="20"/>
        </w:rPr>
      </w:pPr>
      <w:r w:rsidRPr="007C31FF">
        <w:rPr>
          <w:noProof/>
          <w:sz w:val="20"/>
          <w:szCs w:val="20"/>
        </w:rPr>
        <w:t xml:space="preserve">FSANZ (2007) Safety assessment of genetically modified foods - guidance document. Document prepared by Food Standards Australia New Zealand </w:t>
      </w:r>
      <w:hyperlink r:id="rId26" w:history="1">
        <w:r w:rsidRPr="007C31FF">
          <w:rPr>
            <w:rStyle w:val="Hyperlink"/>
            <w:noProof/>
            <w:sz w:val="20"/>
            <w:szCs w:val="20"/>
          </w:rPr>
          <w:t>http://www.foodstandards.gov.au/publications/Pages/Safety-Assessment-of-Genetically-Modified-Foods-Guidance-Document-.aspx</w:t>
        </w:r>
      </w:hyperlink>
    </w:p>
    <w:p w14:paraId="2E7C9649" w14:textId="73617478" w:rsidR="00A258B8" w:rsidRPr="007C31FF" w:rsidRDefault="00A258B8" w:rsidP="007C31FF">
      <w:pPr>
        <w:spacing w:before="240" w:after="240"/>
        <w:rPr>
          <w:b/>
          <w:noProof/>
          <w:sz w:val="20"/>
          <w:szCs w:val="20"/>
        </w:rPr>
      </w:pPr>
      <w:r w:rsidRPr="007C31FF">
        <w:rPr>
          <w:noProof/>
          <w:sz w:val="20"/>
          <w:szCs w:val="20"/>
        </w:rPr>
        <w:t xml:space="preserve">FSANZ (2013) Response to Heinemann </w:t>
      </w:r>
      <w:r w:rsidRPr="007C31FF">
        <w:rPr>
          <w:i/>
          <w:noProof/>
          <w:sz w:val="20"/>
          <w:szCs w:val="20"/>
        </w:rPr>
        <w:t>et al</w:t>
      </w:r>
      <w:r w:rsidRPr="007C31FF">
        <w:rPr>
          <w:noProof/>
          <w:sz w:val="20"/>
          <w:szCs w:val="20"/>
        </w:rPr>
        <w:t xml:space="preserve"> on the regulation of GM crops and foods developed using gene silencing. Food Standards Australia New Zealand. </w:t>
      </w:r>
      <w:hyperlink r:id="rId27" w:history="1">
        <w:r w:rsidRPr="007C31FF">
          <w:rPr>
            <w:rStyle w:val="Hyperlink"/>
            <w:noProof/>
            <w:sz w:val="20"/>
            <w:szCs w:val="20"/>
          </w:rPr>
          <w:t>http://www.foodstandards.gov.au/consumer/gmfood/Pages/Response-to-Heinemann-et-al-on-the-regulation-of-GM-crops-and-foods-developed-using-gene-silencing.aspx</w:t>
        </w:r>
      </w:hyperlink>
    </w:p>
    <w:p w14:paraId="08E2CA3B" w14:textId="0B4A174D" w:rsidR="00A258B8" w:rsidRPr="007C31FF" w:rsidRDefault="00A258B8" w:rsidP="007C31FF">
      <w:pPr>
        <w:spacing w:before="240" w:after="240"/>
        <w:rPr>
          <w:b/>
          <w:noProof/>
          <w:sz w:val="20"/>
          <w:szCs w:val="20"/>
        </w:rPr>
      </w:pPr>
      <w:r w:rsidRPr="007C31FF">
        <w:rPr>
          <w:noProof/>
          <w:sz w:val="20"/>
          <w:szCs w:val="20"/>
        </w:rPr>
        <w:t xml:space="preserve">FSANZ (2016) Application handbook. Prepared by Food Standards Australia New Zealand. </w:t>
      </w:r>
      <w:hyperlink r:id="rId28" w:history="1">
        <w:r w:rsidRPr="007C31FF">
          <w:rPr>
            <w:rStyle w:val="Hyperlink"/>
            <w:noProof/>
            <w:sz w:val="20"/>
            <w:szCs w:val="20"/>
          </w:rPr>
          <w:t>http://www.foodstandards.gov.au/code/changes/pages/applicationshandbook.aspx</w:t>
        </w:r>
      </w:hyperlink>
    </w:p>
    <w:p w14:paraId="362E444D" w14:textId="71E7B91A" w:rsidR="007C31FF" w:rsidRDefault="00A258B8" w:rsidP="007C31FF">
      <w:pPr>
        <w:spacing w:before="240" w:after="240"/>
        <w:rPr>
          <w:noProof/>
          <w:sz w:val="20"/>
          <w:szCs w:val="20"/>
        </w:rPr>
      </w:pPr>
      <w:r w:rsidRPr="007C31FF">
        <w:rPr>
          <w:noProof/>
          <w:sz w:val="20"/>
          <w:szCs w:val="20"/>
        </w:rPr>
        <w:t>Herman RA, Chassy BM, Parrott W (2009) Compositional assessment of transgenic crops: an idea whose time has passed. Trends in Biotechnology 27:555–557</w:t>
      </w:r>
      <w:r w:rsidR="007C31FF">
        <w:rPr>
          <w:noProof/>
          <w:sz w:val="20"/>
          <w:szCs w:val="20"/>
        </w:rPr>
        <w:br w:type="page"/>
      </w:r>
    </w:p>
    <w:p w14:paraId="4F6CA1BD" w14:textId="2398C0EF" w:rsidR="00A258B8" w:rsidRPr="007C31FF" w:rsidRDefault="00A258B8" w:rsidP="007C31FF">
      <w:pPr>
        <w:spacing w:before="240" w:after="240"/>
        <w:rPr>
          <w:b/>
          <w:noProof/>
          <w:sz w:val="20"/>
          <w:szCs w:val="20"/>
        </w:rPr>
      </w:pPr>
      <w:r w:rsidRPr="007C31FF">
        <w:rPr>
          <w:noProof/>
          <w:sz w:val="20"/>
          <w:szCs w:val="20"/>
        </w:rPr>
        <w:lastRenderedPageBreak/>
        <w:t xml:space="preserve">Kim S-I, Veena, Gelvin SB (2007) Genome-wide analysis of </w:t>
      </w:r>
      <w:r w:rsidRPr="007C31FF">
        <w:rPr>
          <w:i/>
          <w:noProof/>
          <w:sz w:val="20"/>
          <w:szCs w:val="20"/>
        </w:rPr>
        <w:t>Agrobacterium</w:t>
      </w:r>
      <w:r w:rsidRPr="007C31FF">
        <w:rPr>
          <w:noProof/>
          <w:sz w:val="20"/>
          <w:szCs w:val="20"/>
        </w:rPr>
        <w:t xml:space="preserve"> T-DNA integration sites in the Arabidopsis genome generated under non-selective conditions. The Plant Journal 51:779–791</w:t>
      </w:r>
    </w:p>
    <w:p w14:paraId="0991FACA" w14:textId="77777777" w:rsidR="00A258B8" w:rsidRPr="007C31FF" w:rsidRDefault="00A258B8" w:rsidP="007C31FF">
      <w:pPr>
        <w:spacing w:before="240" w:after="240"/>
        <w:rPr>
          <w:b/>
          <w:noProof/>
          <w:sz w:val="20"/>
          <w:szCs w:val="20"/>
        </w:rPr>
      </w:pPr>
      <w:r w:rsidRPr="007C31FF">
        <w:rPr>
          <w:noProof/>
          <w:sz w:val="20"/>
          <w:szCs w:val="20"/>
        </w:rPr>
        <w:t>OECD (1993) Safety evaluation of foods derived by modern biotechnology: Concepts and principles. Organisation for Economic Co-operation and development, Paris</w:t>
      </w:r>
    </w:p>
    <w:p w14:paraId="21EB9497" w14:textId="77777777" w:rsidR="00A258B8" w:rsidRPr="007C31FF" w:rsidRDefault="00A258B8" w:rsidP="007C31FF">
      <w:pPr>
        <w:spacing w:before="240" w:after="240"/>
        <w:rPr>
          <w:b/>
          <w:noProof/>
          <w:sz w:val="20"/>
          <w:szCs w:val="20"/>
        </w:rPr>
      </w:pPr>
      <w:r w:rsidRPr="007C31FF">
        <w:rPr>
          <w:noProof/>
          <w:sz w:val="20"/>
          <w:szCs w:val="20"/>
        </w:rPr>
        <w:t>Parkin KL (2008) Enzymes. Ch 6 In: Damodaran S, Parkin KL, and Fennema OR (eds) Fennema's food chemistry. 4th ed, CRC Press, Boca Raton, FL, p. 331–436</w:t>
      </w:r>
    </w:p>
    <w:p w14:paraId="6F9D2AFC" w14:textId="5361C589" w:rsidR="00A258B8" w:rsidRPr="007C31FF" w:rsidRDefault="00A258B8" w:rsidP="007C31FF">
      <w:pPr>
        <w:spacing w:before="240" w:after="240"/>
        <w:rPr>
          <w:b/>
          <w:noProof/>
          <w:sz w:val="20"/>
          <w:szCs w:val="20"/>
        </w:rPr>
      </w:pPr>
      <w:r w:rsidRPr="007C31FF">
        <w:rPr>
          <w:noProof/>
          <w:sz w:val="20"/>
          <w:szCs w:val="20"/>
        </w:rPr>
        <w:t xml:space="preserve">Rigaud N (2008) Biotechnology: ethical and social debates. OECD International Futures Project on "The Bioeconomy to 2030: Designing a Policy Agenda". </w:t>
      </w:r>
      <w:hyperlink r:id="rId29" w:history="1">
        <w:r w:rsidRPr="007C31FF">
          <w:rPr>
            <w:rStyle w:val="Hyperlink"/>
            <w:noProof/>
            <w:sz w:val="20"/>
            <w:szCs w:val="20"/>
          </w:rPr>
          <w:t>http://www.oecd.org/futures/long-termtechnologicalsocietalchallenges/40926844.pdf</w:t>
        </w:r>
      </w:hyperlink>
    </w:p>
    <w:p w14:paraId="04DD94F8" w14:textId="77777777" w:rsidR="00A258B8" w:rsidRPr="007C31FF" w:rsidRDefault="00A258B8" w:rsidP="007C31FF">
      <w:pPr>
        <w:spacing w:before="240" w:after="240"/>
        <w:rPr>
          <w:b/>
          <w:noProof/>
          <w:sz w:val="20"/>
          <w:szCs w:val="20"/>
        </w:rPr>
      </w:pPr>
      <w:r w:rsidRPr="007C31FF">
        <w:rPr>
          <w:noProof/>
          <w:sz w:val="20"/>
          <w:szCs w:val="20"/>
        </w:rPr>
        <w:t xml:space="preserve">Tzfira T, Li J, Lacroix B, Citosky V (2004) </w:t>
      </w:r>
      <w:r w:rsidRPr="007C31FF">
        <w:rPr>
          <w:i/>
          <w:noProof/>
          <w:sz w:val="20"/>
          <w:szCs w:val="20"/>
        </w:rPr>
        <w:t>Agrobacterium</w:t>
      </w:r>
      <w:r w:rsidRPr="007C31FF">
        <w:rPr>
          <w:noProof/>
          <w:sz w:val="20"/>
          <w:szCs w:val="20"/>
        </w:rPr>
        <w:t xml:space="preserve"> T-DNA integration: molecules and models. Trends in Genetics 20(8):375–383</w:t>
      </w:r>
    </w:p>
    <w:p w14:paraId="0D22057B" w14:textId="71940827" w:rsidR="0012388D" w:rsidRPr="00353BD5" w:rsidRDefault="000C17AA" w:rsidP="00353BD5">
      <w:pPr>
        <w:pStyle w:val="Heading2"/>
      </w:pPr>
      <w:r w:rsidRPr="00A258B8">
        <w:rPr>
          <w:b w:val="0"/>
          <w:color w:val="000000" w:themeColor="text1"/>
          <w:sz w:val="20"/>
          <w:szCs w:val="20"/>
        </w:rPr>
        <w:fldChar w:fldCharType="end"/>
      </w:r>
      <w:r w:rsidR="00D15A08" w:rsidRPr="00353BD5">
        <w:t>A</w:t>
      </w:r>
      <w:bookmarkEnd w:id="106"/>
      <w:bookmarkEnd w:id="107"/>
      <w:bookmarkEnd w:id="108"/>
      <w:bookmarkEnd w:id="109"/>
      <w:bookmarkEnd w:id="110"/>
      <w:r w:rsidR="00B21055" w:rsidRPr="00353BD5">
        <w:t>ttachments</w:t>
      </w:r>
    </w:p>
    <w:p w14:paraId="3BF7E786" w14:textId="191B7C3C" w:rsidR="00795D86" w:rsidRPr="00756A52" w:rsidRDefault="00755F02" w:rsidP="00456BD5">
      <w:pPr>
        <w:ind w:left="567" w:hanging="567"/>
      </w:pPr>
      <w:r w:rsidRPr="00756A52">
        <w:t>A.</w:t>
      </w:r>
      <w:r w:rsidRPr="00756A52">
        <w:tab/>
      </w:r>
      <w:r w:rsidR="009A2699" w:rsidRPr="00756A52">
        <w:t xml:space="preserve">Approved </w:t>
      </w:r>
      <w:r w:rsidR="00E47D3B" w:rsidRPr="00756A52">
        <w:t xml:space="preserve">draft </w:t>
      </w:r>
      <w:r w:rsidR="000576EB" w:rsidRPr="00756A52">
        <w:t>variation</w:t>
      </w:r>
      <w:r w:rsidR="00B0301E">
        <w:t xml:space="preserve"> to the</w:t>
      </w:r>
      <w:r w:rsidR="00B821A5" w:rsidRPr="00756A52">
        <w:t xml:space="preserve"> </w:t>
      </w:r>
      <w:r w:rsidR="000576EB" w:rsidRPr="00756A52">
        <w:rPr>
          <w:i/>
        </w:rPr>
        <w:t>Australia New Zealand Food Standards Code</w:t>
      </w:r>
      <w:r w:rsidR="00B821A5" w:rsidRPr="00756A52">
        <w:rPr>
          <w:i/>
        </w:rPr>
        <w:t xml:space="preserve"> </w:t>
      </w:r>
    </w:p>
    <w:p w14:paraId="3079E38F" w14:textId="196826B1" w:rsidR="00456BD5" w:rsidRPr="00756A52" w:rsidRDefault="00456BD5" w:rsidP="00456BD5">
      <w:pPr>
        <w:ind w:left="567" w:hanging="567"/>
      </w:pPr>
      <w:r w:rsidRPr="00756A52">
        <w:t>B</w:t>
      </w:r>
      <w:r w:rsidR="00755F02" w:rsidRPr="00756A52">
        <w:t>.</w:t>
      </w:r>
      <w:r w:rsidR="00755F02" w:rsidRPr="00756A52">
        <w:tab/>
      </w:r>
      <w:r w:rsidRPr="00756A52">
        <w:t>Explanatory Sta</w:t>
      </w:r>
      <w:r w:rsidR="00180F3D" w:rsidRPr="00756A52">
        <w:t>tement</w:t>
      </w:r>
    </w:p>
    <w:p w14:paraId="17CDB730" w14:textId="25F33774" w:rsidR="00F6217E" w:rsidRPr="00DA1ABB" w:rsidRDefault="003C4969" w:rsidP="00F6217E">
      <w:pPr>
        <w:pStyle w:val="Heading2"/>
        <w:ind w:left="0" w:firstLine="0"/>
        <w:rPr>
          <w:color w:val="000000" w:themeColor="text1"/>
        </w:rPr>
      </w:pPr>
      <w:r w:rsidRPr="00932F14">
        <w:br w:type="page"/>
      </w:r>
      <w:bookmarkStart w:id="112" w:name="_Toc29883131"/>
      <w:bookmarkStart w:id="113" w:name="_Toc41906818"/>
      <w:bookmarkStart w:id="114" w:name="_Toc41907565"/>
      <w:bookmarkStart w:id="115" w:name="_Toc120358596"/>
      <w:bookmarkStart w:id="116" w:name="_Toc175381458"/>
      <w:bookmarkStart w:id="117" w:name="_Toc11735644"/>
      <w:bookmarkStart w:id="118" w:name="_Toc415572037"/>
      <w:bookmarkStart w:id="119" w:name="_Toc438026191"/>
      <w:bookmarkStart w:id="120" w:name="_Toc454376577"/>
      <w:bookmarkStart w:id="121" w:name="_Toc463450505"/>
      <w:r w:rsidR="00F6217E" w:rsidRPr="00DA1ABB">
        <w:rPr>
          <w:color w:val="000000" w:themeColor="text1"/>
        </w:rPr>
        <w:lastRenderedPageBreak/>
        <w:t xml:space="preserve">Attachment </w:t>
      </w:r>
      <w:bookmarkEnd w:id="112"/>
      <w:bookmarkEnd w:id="113"/>
      <w:bookmarkEnd w:id="114"/>
      <w:bookmarkEnd w:id="115"/>
      <w:bookmarkEnd w:id="116"/>
      <w:r w:rsidR="00F6217E" w:rsidRPr="00DA1ABB">
        <w:rPr>
          <w:color w:val="000000" w:themeColor="text1"/>
        </w:rPr>
        <w:t>A</w:t>
      </w:r>
      <w:bookmarkStart w:id="122" w:name="_Toc120358597"/>
      <w:bookmarkStart w:id="123" w:name="_Toc175381459"/>
      <w:bookmarkEnd w:id="117"/>
      <w:r w:rsidR="00F6217E" w:rsidRPr="00DA1ABB">
        <w:rPr>
          <w:color w:val="000000" w:themeColor="text1"/>
        </w:rPr>
        <w:t xml:space="preserve"> – </w:t>
      </w:r>
      <w:bookmarkStart w:id="124" w:name="_Toc415572039"/>
      <w:bookmarkEnd w:id="118"/>
      <w:bookmarkEnd w:id="122"/>
      <w:bookmarkEnd w:id="123"/>
      <w:r w:rsidR="00F6217E">
        <w:rPr>
          <w:color w:val="000000" w:themeColor="text1"/>
        </w:rPr>
        <w:t>Approved d</w:t>
      </w:r>
      <w:r w:rsidR="00F6217E" w:rsidRPr="00DA1ABB">
        <w:rPr>
          <w:color w:val="000000" w:themeColor="text1"/>
        </w:rPr>
        <w:t xml:space="preserve">raft variation to the </w:t>
      </w:r>
      <w:r w:rsidR="00F6217E" w:rsidRPr="00DA1ABB">
        <w:rPr>
          <w:i/>
          <w:color w:val="000000" w:themeColor="text1"/>
        </w:rPr>
        <w:t>Australia New Zealand Food Standards Code</w:t>
      </w:r>
      <w:bookmarkEnd w:id="119"/>
      <w:bookmarkEnd w:id="120"/>
      <w:bookmarkEnd w:id="121"/>
      <w:bookmarkEnd w:id="124"/>
    </w:p>
    <w:p w14:paraId="49F969CE" w14:textId="77777777" w:rsidR="00F6217E" w:rsidRPr="00DA1ABB" w:rsidRDefault="00F6217E" w:rsidP="00F6217E">
      <w:pPr>
        <w:rPr>
          <w:noProof/>
          <w:color w:val="000000" w:themeColor="text1"/>
          <w:sz w:val="20"/>
          <w:lang w:val="en-AU" w:eastAsia="en-AU"/>
        </w:rPr>
      </w:pPr>
      <w:r w:rsidRPr="00DA1ABB">
        <w:rPr>
          <w:noProof/>
          <w:color w:val="000000" w:themeColor="text1"/>
          <w:sz w:val="20"/>
          <w:lang w:eastAsia="en-GB" w:bidi="ar-SA"/>
        </w:rPr>
        <w:drawing>
          <wp:inline distT="0" distB="0" distL="0" distR="0" wp14:anchorId="73DA0BB6" wp14:editId="0F003B95">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05CD49D" w14:textId="77777777" w:rsidR="00F6217E" w:rsidRPr="00DA1ABB" w:rsidRDefault="00F6217E" w:rsidP="00F6217E">
      <w:pPr>
        <w:widowControl/>
        <w:pBdr>
          <w:bottom w:val="single" w:sz="4" w:space="1" w:color="auto"/>
        </w:pBdr>
        <w:tabs>
          <w:tab w:val="left" w:pos="851"/>
        </w:tabs>
        <w:jc w:val="center"/>
        <w:rPr>
          <w:rFonts w:eastAsiaTheme="minorHAnsi" w:cstheme="minorBidi"/>
          <w:color w:val="000000" w:themeColor="text1"/>
          <w:sz w:val="20"/>
          <w:szCs w:val="20"/>
          <w:lang w:eastAsia="en-GB" w:bidi="ar-SA"/>
        </w:rPr>
      </w:pPr>
    </w:p>
    <w:p w14:paraId="0455372C" w14:textId="77777777" w:rsidR="00F6217E" w:rsidRPr="00DA1ABB" w:rsidRDefault="00F6217E" w:rsidP="00F6217E">
      <w:pPr>
        <w:pBdr>
          <w:bottom w:val="single" w:sz="4" w:space="1" w:color="auto"/>
        </w:pBdr>
        <w:rPr>
          <w:b/>
          <w:color w:val="000000" w:themeColor="text1"/>
          <w:sz w:val="20"/>
          <w:szCs w:val="20"/>
        </w:rPr>
      </w:pPr>
      <w:r w:rsidRPr="00DA1ABB">
        <w:rPr>
          <w:rFonts w:cs="Arial"/>
          <w:b/>
          <w:color w:val="000000" w:themeColor="text1"/>
          <w:sz w:val="20"/>
          <w:szCs w:val="20"/>
        </w:rPr>
        <w:t xml:space="preserve">Food Standards (Application </w:t>
      </w:r>
      <w:r w:rsidRPr="00DA1ABB">
        <w:rPr>
          <w:b/>
          <w:color w:val="000000" w:themeColor="text1"/>
          <w:sz w:val="20"/>
        </w:rPr>
        <w:t>A1128 –</w:t>
      </w:r>
      <w:r w:rsidRPr="00DA1ABB">
        <w:rPr>
          <w:color w:val="000000" w:themeColor="text1"/>
        </w:rPr>
        <w:t xml:space="preserve"> </w:t>
      </w:r>
      <w:r w:rsidRPr="00DA1ABB">
        <w:rPr>
          <w:b/>
          <w:bCs/>
          <w:color w:val="000000" w:themeColor="text1"/>
          <w:sz w:val="20"/>
        </w:rPr>
        <w:t>Food derived from reduced Acrylamide Potential &amp; Browning Potato Line E12</w:t>
      </w:r>
      <w:r w:rsidRPr="00DA1ABB">
        <w:rPr>
          <w:rFonts w:cs="Arial"/>
          <w:b/>
          <w:color w:val="000000" w:themeColor="text1"/>
          <w:sz w:val="20"/>
          <w:szCs w:val="20"/>
        </w:rPr>
        <w:t>)</w:t>
      </w:r>
      <w:r w:rsidRPr="00DA1ABB">
        <w:rPr>
          <w:b/>
          <w:color w:val="000000" w:themeColor="text1"/>
          <w:sz w:val="20"/>
          <w:szCs w:val="20"/>
        </w:rPr>
        <w:t xml:space="preserve"> Variation</w:t>
      </w:r>
    </w:p>
    <w:p w14:paraId="543245F0" w14:textId="77777777" w:rsidR="00F6217E" w:rsidRPr="00DA1ABB" w:rsidRDefault="00F6217E" w:rsidP="00F6217E">
      <w:pPr>
        <w:pBdr>
          <w:bottom w:val="single" w:sz="4" w:space="1" w:color="auto"/>
        </w:pBdr>
        <w:rPr>
          <w:b/>
          <w:color w:val="000000" w:themeColor="text1"/>
          <w:sz w:val="20"/>
          <w:szCs w:val="20"/>
        </w:rPr>
      </w:pPr>
    </w:p>
    <w:p w14:paraId="27B1DDD1" w14:textId="77777777" w:rsidR="00F6217E" w:rsidRPr="00DA1ABB" w:rsidRDefault="00F6217E" w:rsidP="00F6217E">
      <w:pPr>
        <w:rPr>
          <w:color w:val="000000" w:themeColor="text1"/>
          <w:sz w:val="20"/>
        </w:rPr>
      </w:pPr>
    </w:p>
    <w:p w14:paraId="6D977583" w14:textId="77777777" w:rsidR="00F6217E" w:rsidRPr="00DA1ABB" w:rsidRDefault="00F6217E" w:rsidP="00F6217E">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66841394" w14:textId="77777777" w:rsidR="00F6217E" w:rsidRPr="00DA1ABB" w:rsidRDefault="00F6217E" w:rsidP="00F6217E">
      <w:pPr>
        <w:rPr>
          <w:color w:val="000000" w:themeColor="text1"/>
          <w:sz w:val="20"/>
        </w:rPr>
      </w:pPr>
    </w:p>
    <w:p w14:paraId="73F011AB" w14:textId="77777777" w:rsidR="00F6217E" w:rsidRPr="00DA1ABB" w:rsidRDefault="00F6217E" w:rsidP="00F6217E">
      <w:pPr>
        <w:rPr>
          <w:color w:val="000000" w:themeColor="text1"/>
          <w:sz w:val="20"/>
        </w:rPr>
      </w:pPr>
      <w:r w:rsidRPr="00DA1ABB">
        <w:rPr>
          <w:color w:val="000000" w:themeColor="text1"/>
          <w:sz w:val="20"/>
        </w:rPr>
        <w:t>Dated [To be completed by Standards Management Officer]</w:t>
      </w:r>
    </w:p>
    <w:p w14:paraId="5BE2C574" w14:textId="77777777" w:rsidR="00F6217E" w:rsidRPr="00DA1ABB" w:rsidRDefault="00F6217E" w:rsidP="00F6217E">
      <w:pPr>
        <w:rPr>
          <w:color w:val="000000" w:themeColor="text1"/>
          <w:sz w:val="20"/>
        </w:rPr>
      </w:pPr>
    </w:p>
    <w:p w14:paraId="25BDE868" w14:textId="77777777" w:rsidR="00F6217E" w:rsidRPr="00DA1ABB" w:rsidRDefault="00F6217E" w:rsidP="00F6217E">
      <w:pPr>
        <w:rPr>
          <w:color w:val="000000" w:themeColor="text1"/>
          <w:sz w:val="20"/>
        </w:rPr>
      </w:pPr>
    </w:p>
    <w:p w14:paraId="01899B87" w14:textId="77777777" w:rsidR="00F6217E" w:rsidRPr="00DA1ABB" w:rsidRDefault="00F6217E" w:rsidP="00F6217E">
      <w:pPr>
        <w:rPr>
          <w:color w:val="000000" w:themeColor="text1"/>
          <w:sz w:val="20"/>
        </w:rPr>
      </w:pPr>
    </w:p>
    <w:p w14:paraId="172030EF" w14:textId="77777777" w:rsidR="00F6217E" w:rsidRPr="00DA1ABB" w:rsidRDefault="00F6217E" w:rsidP="00F6217E">
      <w:pPr>
        <w:rPr>
          <w:color w:val="000000" w:themeColor="text1"/>
          <w:sz w:val="20"/>
        </w:rPr>
      </w:pPr>
    </w:p>
    <w:p w14:paraId="4901FEB7" w14:textId="77777777" w:rsidR="00F6217E" w:rsidRPr="00DA1ABB" w:rsidRDefault="00F6217E" w:rsidP="00F6217E">
      <w:pPr>
        <w:rPr>
          <w:color w:val="000000" w:themeColor="text1"/>
          <w:sz w:val="20"/>
        </w:rPr>
      </w:pPr>
    </w:p>
    <w:p w14:paraId="6C95992B" w14:textId="77777777" w:rsidR="00F6217E" w:rsidRPr="00DA1ABB" w:rsidRDefault="00F6217E" w:rsidP="00F6217E">
      <w:pPr>
        <w:rPr>
          <w:color w:val="000000" w:themeColor="text1"/>
          <w:sz w:val="20"/>
        </w:rPr>
      </w:pPr>
      <w:r w:rsidRPr="00DA1ABB">
        <w:rPr>
          <w:color w:val="000000" w:themeColor="text1"/>
          <w:sz w:val="20"/>
        </w:rPr>
        <w:t>Standards Management Officer</w:t>
      </w:r>
    </w:p>
    <w:p w14:paraId="4221F152" w14:textId="77777777" w:rsidR="00F6217E" w:rsidRPr="00DA1ABB" w:rsidRDefault="00F6217E" w:rsidP="00F6217E">
      <w:pPr>
        <w:rPr>
          <w:color w:val="000000" w:themeColor="text1"/>
          <w:sz w:val="20"/>
        </w:rPr>
      </w:pPr>
      <w:r w:rsidRPr="00DA1ABB">
        <w:rPr>
          <w:color w:val="000000" w:themeColor="text1"/>
          <w:sz w:val="20"/>
        </w:rPr>
        <w:t>Delegate of the Board of Food Standards Australia New Zealand</w:t>
      </w:r>
    </w:p>
    <w:p w14:paraId="2B33A371" w14:textId="77777777" w:rsidR="00F6217E" w:rsidRPr="00DA1ABB" w:rsidRDefault="00F6217E" w:rsidP="00F6217E">
      <w:pPr>
        <w:rPr>
          <w:color w:val="000000" w:themeColor="text1"/>
          <w:sz w:val="20"/>
        </w:rPr>
      </w:pPr>
    </w:p>
    <w:p w14:paraId="7711F8EB" w14:textId="77777777" w:rsidR="00F6217E" w:rsidRPr="00296F74" w:rsidRDefault="00F6217E" w:rsidP="00F6217E">
      <w:pPr>
        <w:rPr>
          <w:sz w:val="20"/>
        </w:rPr>
      </w:pPr>
    </w:p>
    <w:p w14:paraId="07874B88" w14:textId="77777777" w:rsidR="00F6217E" w:rsidRPr="00296F74" w:rsidRDefault="00F6217E" w:rsidP="00F6217E">
      <w:pPr>
        <w:rPr>
          <w:sz w:val="20"/>
        </w:rPr>
      </w:pPr>
    </w:p>
    <w:p w14:paraId="6C695321" w14:textId="77777777" w:rsidR="00F6217E" w:rsidRPr="00296F74" w:rsidRDefault="00F6217E" w:rsidP="00F6217E">
      <w:pPr>
        <w:rPr>
          <w:sz w:val="20"/>
        </w:rPr>
      </w:pPr>
    </w:p>
    <w:p w14:paraId="1FA71812" w14:textId="77777777" w:rsidR="00F6217E" w:rsidRPr="00296F74" w:rsidRDefault="00F6217E" w:rsidP="00F6217E">
      <w:pPr>
        <w:rPr>
          <w:sz w:val="20"/>
        </w:rPr>
      </w:pPr>
    </w:p>
    <w:p w14:paraId="68532069" w14:textId="77777777" w:rsidR="00F6217E" w:rsidRPr="00296F74" w:rsidRDefault="00F6217E" w:rsidP="00F6217E">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96F74">
        <w:rPr>
          <w:b/>
          <w:sz w:val="20"/>
          <w:szCs w:val="20"/>
          <w:lang w:val="en-AU"/>
        </w:rPr>
        <w:t xml:space="preserve">Note:  </w:t>
      </w:r>
    </w:p>
    <w:p w14:paraId="580F4CFC" w14:textId="77777777" w:rsidR="00F6217E" w:rsidRPr="00296F74" w:rsidRDefault="00F6217E" w:rsidP="00F6217E">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E094E84" w14:textId="77777777" w:rsidR="00F6217E" w:rsidRPr="00296F74" w:rsidRDefault="00F6217E" w:rsidP="00F6217E">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96F74">
        <w:rPr>
          <w:sz w:val="20"/>
          <w:szCs w:val="20"/>
          <w:lang w:val="en-AU"/>
        </w:rPr>
        <w:t xml:space="preserve">This variation will be published in the Commonwealth of Australia Gazette No. FSC </w:t>
      </w:r>
      <w:r w:rsidRPr="00296F74">
        <w:rPr>
          <w:color w:val="FF0000"/>
          <w:sz w:val="20"/>
          <w:szCs w:val="20"/>
          <w:lang w:val="en-AU"/>
        </w:rPr>
        <w:t>XX on XX Month 20XX</w:t>
      </w:r>
      <w:r w:rsidRPr="00296F74">
        <w:rPr>
          <w:sz w:val="20"/>
          <w:szCs w:val="20"/>
          <w:lang w:val="en-AU"/>
        </w:rPr>
        <w:t>. This means that this date is the gazettal date for the purposes of the above notice.</w:t>
      </w:r>
    </w:p>
    <w:p w14:paraId="2615F82B" w14:textId="77777777" w:rsidR="00F6217E" w:rsidRPr="00296F74" w:rsidRDefault="00F6217E" w:rsidP="00F6217E">
      <w:pPr>
        <w:rPr>
          <w:lang w:bidi="ar-SA"/>
        </w:rPr>
      </w:pPr>
    </w:p>
    <w:p w14:paraId="33DE57C6" w14:textId="77777777" w:rsidR="00F6217E" w:rsidRPr="00296F74" w:rsidRDefault="00F6217E" w:rsidP="00F6217E">
      <w:r w:rsidRPr="00296F74">
        <w:br w:type="page"/>
      </w:r>
    </w:p>
    <w:p w14:paraId="2C10B8C2" w14:textId="77777777" w:rsidR="00C372B4" w:rsidRPr="006C1225" w:rsidRDefault="00C372B4" w:rsidP="006C1225">
      <w:pPr>
        <w:pStyle w:val="FSCDraftingitemheading"/>
      </w:pPr>
      <w:bookmarkStart w:id="125" w:name="_Toc414880389"/>
      <w:bookmarkStart w:id="126" w:name="_Toc420055543"/>
      <w:bookmarkStart w:id="127" w:name="_Toc430770446"/>
      <w:r w:rsidRPr="006C1225">
        <w:lastRenderedPageBreak/>
        <w:t>1</w:t>
      </w:r>
      <w:r w:rsidRPr="006C1225">
        <w:tab/>
        <w:t>Name</w:t>
      </w:r>
    </w:p>
    <w:p w14:paraId="188CC3CB" w14:textId="77777777" w:rsidR="00C372B4" w:rsidRPr="00DA1ABB" w:rsidRDefault="00C372B4" w:rsidP="006C1225">
      <w:pPr>
        <w:pStyle w:val="FSCDraftingitem"/>
      </w:pPr>
      <w:r w:rsidRPr="00DA1ABB">
        <w:t>This instrument is the F</w:t>
      </w:r>
      <w:r w:rsidRPr="00EC7738">
        <w:rPr>
          <w:i/>
        </w:rPr>
        <w:t>ood Standards (Application A1128 – Food derived from reduced Acrylamide Potential &amp; Browning Potato Line E12) Variation</w:t>
      </w:r>
      <w:r w:rsidRPr="00DA1ABB">
        <w:t>.</w:t>
      </w:r>
    </w:p>
    <w:p w14:paraId="6B400A00" w14:textId="77777777" w:rsidR="00C372B4" w:rsidRPr="00DA1ABB" w:rsidRDefault="00C372B4" w:rsidP="006C1225">
      <w:pPr>
        <w:pStyle w:val="FSCDraftingitemheading"/>
      </w:pPr>
      <w:r w:rsidRPr="00DA1ABB">
        <w:t>2</w:t>
      </w:r>
      <w:r w:rsidRPr="00DA1ABB">
        <w:tab/>
        <w:t xml:space="preserve">Variation to a Standard in the </w:t>
      </w:r>
      <w:r w:rsidRPr="00EC7738">
        <w:rPr>
          <w:i/>
        </w:rPr>
        <w:t>Australia New Zealand Food Standards Code</w:t>
      </w:r>
    </w:p>
    <w:p w14:paraId="12CC983D" w14:textId="236DCF43" w:rsidR="00C372B4" w:rsidRPr="00DA1ABB" w:rsidRDefault="00C372B4" w:rsidP="006C1225">
      <w:pPr>
        <w:pStyle w:val="FSCDraftingitem"/>
      </w:pPr>
      <w:r w:rsidRPr="00DA1ABB">
        <w:t xml:space="preserve">The Schedule varies a </w:t>
      </w:r>
      <w:r w:rsidR="000928B8">
        <w:t xml:space="preserve">standard </w:t>
      </w:r>
      <w:r w:rsidRPr="00DA1ABB">
        <w:t xml:space="preserve">in the </w:t>
      </w:r>
      <w:r w:rsidRPr="00DA1ABB">
        <w:rPr>
          <w:i/>
        </w:rPr>
        <w:t>Australia New Zealand Food Standards Code</w:t>
      </w:r>
      <w:r w:rsidRPr="00DA1ABB">
        <w:t>.</w:t>
      </w:r>
    </w:p>
    <w:p w14:paraId="4DF927C3" w14:textId="77777777" w:rsidR="00C372B4" w:rsidRPr="00EC7738" w:rsidRDefault="00C372B4" w:rsidP="006C1225">
      <w:pPr>
        <w:pStyle w:val="FSCDraftingitemheading"/>
      </w:pPr>
      <w:r w:rsidRPr="00DA1ABB">
        <w:t>3</w:t>
      </w:r>
      <w:r w:rsidRPr="00DA1ABB">
        <w:tab/>
        <w:t>Commencement</w:t>
      </w:r>
    </w:p>
    <w:p w14:paraId="6A77483E" w14:textId="77777777" w:rsidR="00C372B4" w:rsidRPr="00DA1ABB" w:rsidRDefault="00C372B4" w:rsidP="006C1225">
      <w:pPr>
        <w:pStyle w:val="FSCDraftingitem"/>
      </w:pPr>
      <w:r w:rsidRPr="00DA1ABB">
        <w:t>The variation commences on the date of gazettal.</w:t>
      </w:r>
    </w:p>
    <w:p w14:paraId="7D1B5BA5" w14:textId="77777777" w:rsidR="00C372B4" w:rsidRPr="00EC7738" w:rsidRDefault="00C372B4" w:rsidP="006C1225">
      <w:pPr>
        <w:pStyle w:val="FSCDraftingitemheading"/>
        <w:jc w:val="center"/>
      </w:pPr>
      <w:r w:rsidRPr="00EC7738">
        <w:t>Schedule</w:t>
      </w:r>
    </w:p>
    <w:p w14:paraId="1D97C314" w14:textId="77777777" w:rsidR="00C372B4" w:rsidRPr="00DA1ABB" w:rsidRDefault="00C372B4" w:rsidP="006C1225">
      <w:pPr>
        <w:pStyle w:val="FSCDraftingitem"/>
      </w:pPr>
      <w:r w:rsidRPr="00DA1ABB">
        <w:rPr>
          <w:b/>
        </w:rPr>
        <w:t>[1]</w:t>
      </w:r>
      <w:r w:rsidRPr="00DA1ABB">
        <w:rPr>
          <w:b/>
        </w:rPr>
        <w:tab/>
        <w:t>Schedule 26</w:t>
      </w:r>
      <w:r w:rsidRPr="00DA1ABB">
        <w:t xml:space="preserve"> is varied by inserting in the table to subsection S26—3(4) in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C372B4" w:rsidRPr="00DA1ABB" w14:paraId="71694403" w14:textId="77777777" w:rsidTr="003956DB">
        <w:trPr>
          <w:cantSplit/>
        </w:trPr>
        <w:tc>
          <w:tcPr>
            <w:tcW w:w="903" w:type="dxa"/>
          </w:tcPr>
          <w:p w14:paraId="62238C96" w14:textId="77777777" w:rsidR="00C372B4" w:rsidRPr="00DA1ABB" w:rsidRDefault="00C372B4" w:rsidP="003956DB">
            <w:pPr>
              <w:pStyle w:val="FSCtblPara"/>
              <w:rPr>
                <w:color w:val="000000" w:themeColor="text1"/>
              </w:rPr>
            </w:pPr>
          </w:p>
        </w:tc>
        <w:tc>
          <w:tcPr>
            <w:tcW w:w="1190" w:type="dxa"/>
          </w:tcPr>
          <w:p w14:paraId="08D54AC9" w14:textId="77777777" w:rsidR="00C372B4" w:rsidRPr="00DA1ABB" w:rsidRDefault="00C372B4" w:rsidP="003956DB">
            <w:pPr>
              <w:pStyle w:val="FSCtblPara"/>
              <w:rPr>
                <w:color w:val="000000" w:themeColor="text1"/>
              </w:rPr>
            </w:pPr>
          </w:p>
        </w:tc>
        <w:tc>
          <w:tcPr>
            <w:tcW w:w="6979" w:type="dxa"/>
          </w:tcPr>
          <w:p w14:paraId="79A2B0E5" w14:textId="77777777" w:rsidR="00C372B4" w:rsidRPr="00DA1ABB" w:rsidRDefault="00C372B4" w:rsidP="006C1225">
            <w:pPr>
              <w:pStyle w:val="FSCtblPara"/>
            </w:pPr>
            <w:r w:rsidRPr="00DA1ABB">
              <w:t xml:space="preserve">(d) </w:t>
            </w:r>
            <w:r w:rsidRPr="00DA1ABB">
              <w:tab/>
              <w:t>reduced acrylamide potential and reduced browning potato line E12</w:t>
            </w:r>
          </w:p>
        </w:tc>
      </w:tr>
    </w:tbl>
    <w:p w14:paraId="6E632CD6" w14:textId="77777777" w:rsidR="00C372B4" w:rsidRPr="00296F74" w:rsidRDefault="00C372B4" w:rsidP="00C372B4">
      <w:r w:rsidRPr="00296F74">
        <w:br w:type="page"/>
      </w:r>
    </w:p>
    <w:p w14:paraId="7E39F061" w14:textId="74B56366" w:rsidR="00001991" w:rsidRPr="001A695A" w:rsidRDefault="00101AC4" w:rsidP="00001991">
      <w:pPr>
        <w:pStyle w:val="Heading2"/>
      </w:pPr>
      <w:bookmarkStart w:id="128" w:name="_Toc463450506"/>
      <w:r w:rsidRPr="001A695A">
        <w:lastRenderedPageBreak/>
        <w:t xml:space="preserve">Attachment B – </w:t>
      </w:r>
      <w:r w:rsidR="00001991" w:rsidRPr="001A695A">
        <w:t>Explanatory Statement</w:t>
      </w:r>
      <w:bookmarkEnd w:id="125"/>
      <w:bookmarkEnd w:id="126"/>
      <w:bookmarkEnd w:id="127"/>
      <w:bookmarkEnd w:id="128"/>
    </w:p>
    <w:p w14:paraId="0FC7B27A" w14:textId="77777777" w:rsidR="00001991" w:rsidRPr="001A695A" w:rsidRDefault="00001991" w:rsidP="00001991">
      <w:pPr>
        <w:rPr>
          <w:b/>
          <w:lang w:val="en-AU"/>
        </w:rPr>
      </w:pPr>
      <w:r w:rsidRPr="001A695A">
        <w:rPr>
          <w:b/>
          <w:lang w:val="en-AU"/>
        </w:rPr>
        <w:t>1.</w:t>
      </w:r>
      <w:r w:rsidRPr="001A695A">
        <w:rPr>
          <w:b/>
          <w:lang w:val="en-AU"/>
        </w:rPr>
        <w:tab/>
        <w:t>Authority</w:t>
      </w:r>
    </w:p>
    <w:p w14:paraId="7B16A1BF" w14:textId="77777777" w:rsidR="00001991" w:rsidRPr="001A695A" w:rsidRDefault="00001991" w:rsidP="00001991">
      <w:pPr>
        <w:rPr>
          <w:lang w:val="en-AU"/>
        </w:rPr>
      </w:pPr>
    </w:p>
    <w:p w14:paraId="2E481BC4"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 xml:space="preserve">Section 13 of the </w:t>
      </w:r>
      <w:r w:rsidRPr="001A695A">
        <w:rPr>
          <w:rFonts w:eastAsia="Calibri" w:cs="Arial"/>
          <w:bCs/>
          <w:i/>
          <w:lang w:val="en-AU"/>
        </w:rPr>
        <w:t>Food Standards Australia New Zealand Act 1991</w:t>
      </w:r>
      <w:r w:rsidRPr="001A695A">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1A695A">
        <w:rPr>
          <w:rFonts w:eastAsia="Calibri" w:cs="Arial"/>
          <w:bCs/>
          <w:i/>
          <w:lang w:val="en-AU"/>
        </w:rPr>
        <w:t>Australia New Zealand Food Standards Code</w:t>
      </w:r>
      <w:r w:rsidRPr="001A695A">
        <w:rPr>
          <w:rFonts w:eastAsia="Calibri" w:cs="Arial"/>
          <w:bCs/>
          <w:lang w:val="en-AU"/>
        </w:rPr>
        <w:t xml:space="preserve"> (the Code).</w:t>
      </w:r>
    </w:p>
    <w:p w14:paraId="1F5DFFF4" w14:textId="77777777" w:rsidR="00001991" w:rsidRPr="001A695A" w:rsidRDefault="00001991" w:rsidP="00001991">
      <w:pPr>
        <w:autoSpaceDE w:val="0"/>
        <w:autoSpaceDN w:val="0"/>
        <w:adjustRightInd w:val="0"/>
        <w:rPr>
          <w:rFonts w:eastAsia="Calibri" w:cs="Arial"/>
          <w:bCs/>
          <w:lang w:val="en-AU"/>
        </w:rPr>
      </w:pPr>
    </w:p>
    <w:p w14:paraId="7430EDA2"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4195052" w14:textId="77777777" w:rsidR="00001991" w:rsidRPr="001A695A" w:rsidRDefault="00001991" w:rsidP="00001991">
      <w:pPr>
        <w:autoSpaceDE w:val="0"/>
        <w:autoSpaceDN w:val="0"/>
        <w:adjustRightInd w:val="0"/>
        <w:rPr>
          <w:rFonts w:eastAsia="Calibri" w:cs="Arial"/>
          <w:bCs/>
          <w:lang w:val="en-AU"/>
        </w:rPr>
      </w:pPr>
    </w:p>
    <w:p w14:paraId="4BB52D73" w14:textId="013142D3" w:rsidR="00EA5FEB" w:rsidRDefault="00EA5FEB" w:rsidP="00001991">
      <w:pPr>
        <w:autoSpaceDE w:val="0"/>
        <w:autoSpaceDN w:val="0"/>
        <w:adjustRightInd w:val="0"/>
        <w:rPr>
          <w:rFonts w:eastAsia="Calibri" w:cs="Arial"/>
          <w:bCs/>
          <w:color w:val="000000" w:themeColor="text1"/>
          <w:szCs w:val="22"/>
          <w:lang w:bidi="ar-SA"/>
        </w:rPr>
      </w:pPr>
      <w:r w:rsidRPr="001A695A">
        <w:rPr>
          <w:rFonts w:eastAsia="Calibri" w:cs="Arial"/>
          <w:bCs/>
          <w:lang w:val="en-AU"/>
        </w:rPr>
        <w:t>The Authority</w:t>
      </w:r>
      <w:r w:rsidR="00C372B4">
        <w:rPr>
          <w:rFonts w:eastAsia="Calibri" w:cs="Arial"/>
          <w:bCs/>
          <w:lang w:val="en-AU"/>
        </w:rPr>
        <w:t xml:space="preserve"> accepted Application A112</w:t>
      </w:r>
      <w:r w:rsidR="00F73A63" w:rsidRPr="001A695A">
        <w:rPr>
          <w:rFonts w:eastAsia="Calibri" w:cs="Arial"/>
          <w:bCs/>
          <w:lang w:val="en-AU"/>
        </w:rPr>
        <w:t>8</w:t>
      </w:r>
      <w:r w:rsidR="00001991" w:rsidRPr="001A695A">
        <w:rPr>
          <w:rFonts w:eastAsia="Calibri" w:cs="Arial"/>
          <w:bCs/>
          <w:lang w:val="en-AU"/>
        </w:rPr>
        <w:t xml:space="preserve"> which seeks </w:t>
      </w:r>
      <w:r w:rsidR="00001991" w:rsidRPr="001A695A">
        <w:t xml:space="preserve">permission for the sale and use of food derived from </w:t>
      </w:r>
      <w:r w:rsidR="00C372B4" w:rsidRPr="001E0CD5">
        <w:rPr>
          <w:rFonts w:eastAsia="Calibri" w:cs="Arial"/>
          <w:bCs/>
          <w:color w:val="000000" w:themeColor="text1"/>
          <w:szCs w:val="22"/>
          <w:lang w:bidi="ar-SA"/>
        </w:rPr>
        <w:t>a genetically modified potato line, E12, which has reduced acrylamide potential and re</w:t>
      </w:r>
      <w:r w:rsidR="00C372B4">
        <w:rPr>
          <w:rFonts w:eastAsia="Calibri" w:cs="Arial"/>
          <w:bCs/>
          <w:color w:val="000000" w:themeColor="text1"/>
          <w:szCs w:val="22"/>
          <w:lang w:bidi="ar-SA"/>
        </w:rPr>
        <w:t xml:space="preserve">duced browning (blackspot </w:t>
      </w:r>
      <w:r w:rsidR="00C372B4" w:rsidRPr="00B0301E">
        <w:rPr>
          <w:rFonts w:eastAsia="Calibri" w:cs="Arial"/>
          <w:bCs/>
          <w:color w:val="000000" w:themeColor="text1"/>
          <w:szCs w:val="22"/>
          <w:lang w:bidi="ar-SA"/>
        </w:rPr>
        <w:t xml:space="preserve">bruising). </w:t>
      </w:r>
      <w:r w:rsidR="00C372B4" w:rsidRPr="00B0301E">
        <w:rPr>
          <w:rFonts w:eastAsia="Calibri" w:cs="Arial"/>
          <w:bCs/>
          <w:color w:val="000000" w:themeColor="text1"/>
          <w:szCs w:val="22"/>
          <w:lang w:val="en-AU" w:bidi="ar-SA"/>
        </w:rPr>
        <w:t>The Authority considered the Application in accordance with D</w:t>
      </w:r>
      <w:r w:rsidR="00B0301E" w:rsidRPr="00B0301E">
        <w:rPr>
          <w:rFonts w:eastAsia="Calibri" w:cs="Arial"/>
          <w:bCs/>
          <w:color w:val="000000" w:themeColor="text1"/>
          <w:szCs w:val="22"/>
          <w:lang w:val="en-AU" w:bidi="ar-SA"/>
        </w:rPr>
        <w:t>ivision 1 of Part 3 and has approved</w:t>
      </w:r>
      <w:r w:rsidR="00C372B4" w:rsidRPr="00B0301E">
        <w:rPr>
          <w:rFonts w:eastAsia="Calibri" w:cs="Arial"/>
          <w:bCs/>
          <w:color w:val="000000" w:themeColor="text1"/>
          <w:szCs w:val="22"/>
          <w:lang w:val="en-AU" w:bidi="ar-SA"/>
        </w:rPr>
        <w:t xml:space="preserve"> a draft variation.</w:t>
      </w:r>
    </w:p>
    <w:p w14:paraId="49075350" w14:textId="77777777" w:rsidR="00C372B4" w:rsidRPr="001A695A" w:rsidRDefault="00C372B4" w:rsidP="00001991">
      <w:pPr>
        <w:autoSpaceDE w:val="0"/>
        <w:autoSpaceDN w:val="0"/>
        <w:adjustRightInd w:val="0"/>
        <w:rPr>
          <w:rFonts w:eastAsia="Calibri" w:cs="Arial"/>
          <w:bCs/>
          <w:lang w:val="en-AU"/>
        </w:rPr>
      </w:pPr>
    </w:p>
    <w:p w14:paraId="088E982F" w14:textId="711D61F2" w:rsidR="00EA5FEB" w:rsidRPr="001A695A" w:rsidRDefault="00EA5FEB" w:rsidP="00EA5FEB">
      <w:pPr>
        <w:widowControl/>
        <w:autoSpaceDE w:val="0"/>
        <w:autoSpaceDN w:val="0"/>
        <w:adjustRightInd w:val="0"/>
        <w:rPr>
          <w:rFonts w:eastAsia="Calibri" w:cs="Arial"/>
          <w:bCs/>
          <w:szCs w:val="22"/>
          <w:lang w:val="en-AU" w:bidi="ar-SA"/>
        </w:rPr>
      </w:pPr>
      <w:r w:rsidRPr="001A695A">
        <w:rPr>
          <w:rFonts w:eastAsia="Calibri" w:cs="Arial"/>
          <w:bCs/>
          <w:szCs w:val="22"/>
          <w:lang w:val="en-AU" w:bidi="ar-SA"/>
        </w:rPr>
        <w:t xml:space="preserve">Following consideration by the </w:t>
      </w:r>
      <w:r w:rsidRPr="001A695A">
        <w:rPr>
          <w:rFonts w:cs="Helvetica"/>
          <w:lang w:val="en-AU"/>
        </w:rPr>
        <w:t xml:space="preserve">Australia and New Zealand Ministerial Forum on Food </w:t>
      </w:r>
      <w:r w:rsidRPr="001A695A">
        <w:rPr>
          <w:rFonts w:cs="Arial"/>
        </w:rPr>
        <w:t>Regulatio</w:t>
      </w:r>
      <w:r w:rsidR="00C96B5A" w:rsidRPr="001A695A">
        <w:rPr>
          <w:rFonts w:cs="Arial"/>
        </w:rPr>
        <w:t>n</w:t>
      </w:r>
      <w:r w:rsidRPr="001A695A">
        <w:rPr>
          <w:rFonts w:eastAsia="Calibri" w:cs="Arial"/>
          <w:bCs/>
          <w:szCs w:val="22"/>
          <w:lang w:val="en-AU" w:bidi="ar-SA"/>
        </w:rPr>
        <w:t xml:space="preserve">, section 92 of the FSANZ Act stipulates that the Authority must publish a notice about the standard or draft variation of a standard. </w:t>
      </w:r>
    </w:p>
    <w:p w14:paraId="6170E5B0" w14:textId="77777777" w:rsidR="00EA5FEB" w:rsidRPr="001A695A" w:rsidRDefault="00EA5FEB" w:rsidP="00EA5FEB">
      <w:pPr>
        <w:widowControl/>
        <w:autoSpaceDE w:val="0"/>
        <w:autoSpaceDN w:val="0"/>
        <w:adjustRightInd w:val="0"/>
        <w:rPr>
          <w:rFonts w:eastAsia="Calibri" w:cs="Arial"/>
          <w:bCs/>
          <w:szCs w:val="22"/>
          <w:lang w:val="en-AU" w:bidi="ar-SA"/>
        </w:rPr>
      </w:pPr>
    </w:p>
    <w:p w14:paraId="55917F89" w14:textId="6CA7953A" w:rsidR="00EA5FEB" w:rsidRPr="001A695A" w:rsidRDefault="00EA5FEB" w:rsidP="00EA5FEB">
      <w:pPr>
        <w:widowControl/>
        <w:autoSpaceDE w:val="0"/>
        <w:autoSpaceDN w:val="0"/>
        <w:adjustRightInd w:val="0"/>
        <w:rPr>
          <w:rFonts w:eastAsia="Calibri" w:cs="Arial"/>
          <w:szCs w:val="22"/>
          <w:lang w:val="en-AU" w:bidi="ar-SA"/>
        </w:rPr>
      </w:pPr>
      <w:r w:rsidRPr="001A695A">
        <w:rPr>
          <w:rFonts w:eastAsia="Calibri" w:cs="Arial"/>
          <w:bCs/>
          <w:szCs w:val="22"/>
          <w:lang w:val="en-AU" w:bidi="ar-SA"/>
        </w:rPr>
        <w:t>Section 94 of the FSANZ Act specifies that a</w:t>
      </w:r>
      <w:r w:rsidRPr="001A695A">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00C96B5A" w:rsidRPr="001A695A">
        <w:rPr>
          <w:rFonts w:eastAsia="Calibri" w:cs="Arial"/>
          <w:i/>
          <w:szCs w:val="22"/>
          <w:lang w:val="en-AU" w:bidi="ar-SA"/>
        </w:rPr>
        <w:t>Legislation</w:t>
      </w:r>
      <w:r w:rsidRPr="001A695A">
        <w:rPr>
          <w:rFonts w:eastAsia="Calibri" w:cs="Arial"/>
          <w:i/>
          <w:szCs w:val="22"/>
          <w:lang w:val="en-AU" w:bidi="ar-SA"/>
        </w:rPr>
        <w:t xml:space="preserve"> Act 2003</w:t>
      </w:r>
      <w:r w:rsidRPr="001A695A">
        <w:rPr>
          <w:rFonts w:eastAsia="Calibri" w:cs="Arial"/>
          <w:szCs w:val="22"/>
          <w:lang w:val="en-AU" w:bidi="ar-SA"/>
        </w:rPr>
        <w:t>.</w:t>
      </w:r>
    </w:p>
    <w:p w14:paraId="545D50B2" w14:textId="77777777" w:rsidR="00001991" w:rsidRPr="001A695A" w:rsidRDefault="00001991" w:rsidP="00001991">
      <w:pPr>
        <w:autoSpaceDE w:val="0"/>
        <w:autoSpaceDN w:val="0"/>
        <w:adjustRightInd w:val="0"/>
        <w:rPr>
          <w:rFonts w:eastAsia="Calibri" w:cs="Arial"/>
          <w:bCs/>
          <w:lang w:val="en-AU"/>
        </w:rPr>
      </w:pPr>
    </w:p>
    <w:p w14:paraId="1AEDAB30" w14:textId="77777777" w:rsidR="00001991" w:rsidRPr="001A695A" w:rsidRDefault="00001991" w:rsidP="00001991">
      <w:pPr>
        <w:rPr>
          <w:b/>
          <w:lang w:val="en-AU"/>
        </w:rPr>
      </w:pPr>
      <w:r w:rsidRPr="001A695A">
        <w:rPr>
          <w:b/>
          <w:lang w:val="en-AU"/>
        </w:rPr>
        <w:t>2.</w:t>
      </w:r>
      <w:r w:rsidRPr="001A695A">
        <w:rPr>
          <w:b/>
          <w:lang w:val="en-AU"/>
        </w:rPr>
        <w:tab/>
        <w:t xml:space="preserve">Purpose </w:t>
      </w:r>
    </w:p>
    <w:p w14:paraId="2ACD00D8" w14:textId="77777777" w:rsidR="00001991" w:rsidRPr="001A695A" w:rsidRDefault="00001991" w:rsidP="00001991">
      <w:pPr>
        <w:rPr>
          <w:lang w:val="en-AU"/>
        </w:rPr>
      </w:pPr>
    </w:p>
    <w:p w14:paraId="41B28820" w14:textId="010027E9" w:rsidR="00C372B4" w:rsidRPr="001E0CD5" w:rsidRDefault="00C372B4" w:rsidP="00C372B4">
      <w:pPr>
        <w:rPr>
          <w:color w:val="000000" w:themeColor="text1"/>
          <w:lang w:eastAsia="en-GB" w:bidi="ar-SA"/>
        </w:rPr>
      </w:pPr>
      <w:r w:rsidRPr="001E0CD5">
        <w:rPr>
          <w:color w:val="000000" w:themeColor="text1"/>
          <w:lang w:eastAsia="en-GB" w:bidi="ar-SA"/>
        </w:rPr>
        <w:t>The variation inserts a reference to reduced acrylamide potential and reduced browning line E12 into Schedule 26 in order to permit the sale, or use in food, of food derived from that potato line.</w:t>
      </w:r>
    </w:p>
    <w:p w14:paraId="20FF6C16" w14:textId="77777777" w:rsidR="00001991" w:rsidRPr="001A695A" w:rsidRDefault="00001991" w:rsidP="00001991">
      <w:pPr>
        <w:rPr>
          <w:lang w:val="en-AU"/>
        </w:rPr>
      </w:pPr>
    </w:p>
    <w:p w14:paraId="01E246DC" w14:textId="77777777" w:rsidR="00001991" w:rsidRPr="001A695A" w:rsidRDefault="00001991" w:rsidP="00001991">
      <w:pPr>
        <w:rPr>
          <w:b/>
          <w:lang w:val="en-AU"/>
        </w:rPr>
      </w:pPr>
      <w:r w:rsidRPr="001A695A">
        <w:rPr>
          <w:b/>
          <w:lang w:val="en-AU"/>
        </w:rPr>
        <w:t>3.</w:t>
      </w:r>
      <w:r w:rsidRPr="001A695A">
        <w:rPr>
          <w:b/>
          <w:lang w:val="en-AU"/>
        </w:rPr>
        <w:tab/>
        <w:t>Documents incorporated by reference</w:t>
      </w:r>
    </w:p>
    <w:p w14:paraId="60C5289B" w14:textId="77777777" w:rsidR="00001991" w:rsidRPr="001A695A" w:rsidRDefault="00001991" w:rsidP="00001991">
      <w:pPr>
        <w:rPr>
          <w:lang w:val="en-AU"/>
        </w:rPr>
      </w:pPr>
    </w:p>
    <w:p w14:paraId="06B3B57B" w14:textId="77777777" w:rsidR="00001991" w:rsidRPr="001A695A" w:rsidRDefault="00001991" w:rsidP="00001991">
      <w:pPr>
        <w:autoSpaceDE w:val="0"/>
        <w:autoSpaceDN w:val="0"/>
        <w:adjustRightInd w:val="0"/>
        <w:rPr>
          <w:rFonts w:eastAsia="Calibri" w:cs="Arial"/>
          <w:bCs/>
          <w:lang w:val="en-AU"/>
        </w:rPr>
      </w:pPr>
      <w:r w:rsidRPr="001A695A">
        <w:rPr>
          <w:rFonts w:eastAsia="Calibri" w:cs="Arial"/>
          <w:bCs/>
          <w:lang w:val="en-AU"/>
        </w:rPr>
        <w:t>The variations to food regulatory measures do not incorporate any documents by reference.</w:t>
      </w:r>
    </w:p>
    <w:p w14:paraId="3745DAC5" w14:textId="77777777" w:rsidR="00001991" w:rsidRPr="001A695A" w:rsidRDefault="00001991" w:rsidP="00001991">
      <w:pPr>
        <w:rPr>
          <w:lang w:val="en-AU"/>
        </w:rPr>
      </w:pPr>
    </w:p>
    <w:p w14:paraId="0DE67C0E" w14:textId="77777777" w:rsidR="00001991" w:rsidRPr="001A695A" w:rsidRDefault="00001991" w:rsidP="00001991">
      <w:pPr>
        <w:rPr>
          <w:b/>
          <w:lang w:val="en-AU"/>
        </w:rPr>
      </w:pPr>
      <w:r w:rsidRPr="001A695A">
        <w:rPr>
          <w:b/>
          <w:lang w:val="en-AU"/>
        </w:rPr>
        <w:t>4.</w:t>
      </w:r>
      <w:r w:rsidRPr="001A695A">
        <w:rPr>
          <w:b/>
          <w:lang w:val="en-AU"/>
        </w:rPr>
        <w:tab/>
        <w:t>Consultation</w:t>
      </w:r>
    </w:p>
    <w:p w14:paraId="5E31D94F" w14:textId="77777777" w:rsidR="00001991" w:rsidRPr="001A695A" w:rsidRDefault="00001991" w:rsidP="00001991">
      <w:pPr>
        <w:rPr>
          <w:lang w:val="en-AU"/>
        </w:rPr>
      </w:pPr>
    </w:p>
    <w:p w14:paraId="396A9CB1" w14:textId="28588300" w:rsidR="00001991" w:rsidRPr="001A695A" w:rsidRDefault="00001991" w:rsidP="00001991">
      <w:r w:rsidRPr="001A695A">
        <w:t>In accordance with the procedure in Division 1 of Part 3 of the FSANZ Act, the Authority’s considerati</w:t>
      </w:r>
      <w:r w:rsidR="00F73A63" w:rsidRPr="001A695A">
        <w:t>on of Applicati</w:t>
      </w:r>
      <w:r w:rsidR="00C372B4">
        <w:t>on A112</w:t>
      </w:r>
      <w:r w:rsidR="00F73A63" w:rsidRPr="001A695A">
        <w:t>8</w:t>
      </w:r>
      <w:r w:rsidRPr="001A695A">
        <w:t xml:space="preserve"> include</w:t>
      </w:r>
      <w:r w:rsidR="00836D8B" w:rsidRPr="001A695A">
        <w:t>d</w:t>
      </w:r>
      <w:r w:rsidRPr="001A695A">
        <w:t xml:space="preserve"> one round of public consultation following an assessment and the preparation of a draft variation. </w:t>
      </w:r>
    </w:p>
    <w:p w14:paraId="4A0A08D8" w14:textId="77777777" w:rsidR="00001991" w:rsidRPr="001A695A" w:rsidRDefault="00001991" w:rsidP="00001991"/>
    <w:p w14:paraId="7E021870" w14:textId="4B1F213B" w:rsidR="00001991" w:rsidRPr="001A695A" w:rsidRDefault="00001991" w:rsidP="00001991">
      <w:pPr>
        <w:autoSpaceDE w:val="0"/>
        <w:autoSpaceDN w:val="0"/>
      </w:pPr>
      <w:r w:rsidRPr="001A695A">
        <w:t xml:space="preserve">A Regulation Impact Statement was not required because the </w:t>
      </w:r>
      <w:r w:rsidR="007A2F79" w:rsidRPr="001A695A">
        <w:t xml:space="preserve">sale </w:t>
      </w:r>
      <w:r w:rsidRPr="001A695A">
        <w:t xml:space="preserve">of food derived from </w:t>
      </w:r>
      <w:r w:rsidR="00C372B4">
        <w:t>E12</w:t>
      </w:r>
      <w:r w:rsidRPr="001A695A">
        <w:t xml:space="preserve">, if approved, would be voluntary and would be likely to have a minor impact on business and individuals. </w:t>
      </w:r>
    </w:p>
    <w:p w14:paraId="317075F4" w14:textId="77777777" w:rsidR="00001991" w:rsidRPr="001A695A" w:rsidRDefault="00001991" w:rsidP="00001991">
      <w:pPr>
        <w:rPr>
          <w:rFonts w:cs="Arial"/>
          <w:b/>
          <w:bCs/>
          <w:lang w:val="en-AU"/>
        </w:rPr>
      </w:pPr>
    </w:p>
    <w:p w14:paraId="4269CF75" w14:textId="77777777" w:rsidR="00001991" w:rsidRPr="001A695A" w:rsidRDefault="00001991" w:rsidP="00001991">
      <w:pPr>
        <w:rPr>
          <w:rFonts w:cs="Arial"/>
          <w:b/>
          <w:bCs/>
          <w:lang w:val="en-AU"/>
        </w:rPr>
      </w:pPr>
      <w:r w:rsidRPr="001A695A">
        <w:rPr>
          <w:rFonts w:cs="Arial"/>
          <w:b/>
          <w:bCs/>
          <w:lang w:val="en-AU"/>
        </w:rPr>
        <w:t>5.</w:t>
      </w:r>
      <w:r w:rsidRPr="001A695A">
        <w:rPr>
          <w:rFonts w:cs="Arial"/>
          <w:b/>
          <w:bCs/>
          <w:lang w:val="en-AU"/>
        </w:rPr>
        <w:tab/>
        <w:t>Statement of compatibility with human rights</w:t>
      </w:r>
    </w:p>
    <w:p w14:paraId="70488FB8" w14:textId="77777777" w:rsidR="00001991" w:rsidRPr="001A695A" w:rsidRDefault="00001991" w:rsidP="00001991">
      <w:pPr>
        <w:rPr>
          <w:lang w:val="en-AU"/>
        </w:rPr>
      </w:pPr>
    </w:p>
    <w:p w14:paraId="2ABE8C57" w14:textId="77777777" w:rsidR="00001991" w:rsidRPr="001A695A" w:rsidRDefault="00001991" w:rsidP="00001991">
      <w:pPr>
        <w:rPr>
          <w:lang w:val="en-AU"/>
        </w:rPr>
      </w:pPr>
      <w:r w:rsidRPr="001A695A">
        <w:rPr>
          <w:lang w:val="en-AU"/>
        </w:rPr>
        <w:t>This instrument is exempt from the requirements for a statement of compatibility with human rights as it is a non-disallowable instrument under section 94 of the FSANZ Act.</w:t>
      </w:r>
    </w:p>
    <w:p w14:paraId="2FA95EF2" w14:textId="0AA4489F" w:rsidR="00EA5FEB" w:rsidRPr="001A695A" w:rsidRDefault="00EA5FEB">
      <w:pPr>
        <w:widowControl/>
        <w:rPr>
          <w:b/>
        </w:rPr>
      </w:pPr>
    </w:p>
    <w:p w14:paraId="4CE688BE" w14:textId="77777777" w:rsidR="00493AB7" w:rsidRDefault="00493AB7" w:rsidP="00001991">
      <w:pPr>
        <w:rPr>
          <w:b/>
        </w:rPr>
      </w:pPr>
      <w:r>
        <w:rPr>
          <w:b/>
        </w:rPr>
        <w:br w:type="page"/>
      </w:r>
    </w:p>
    <w:p w14:paraId="7C7446FB" w14:textId="3DCF185D" w:rsidR="00001991" w:rsidRPr="001A695A" w:rsidRDefault="00001991" w:rsidP="00001991">
      <w:pPr>
        <w:rPr>
          <w:b/>
          <w:lang w:val="en-AU"/>
        </w:rPr>
      </w:pPr>
      <w:r w:rsidRPr="001A695A">
        <w:rPr>
          <w:b/>
        </w:rPr>
        <w:lastRenderedPageBreak/>
        <w:t>6.</w:t>
      </w:r>
      <w:r w:rsidRPr="001A695A">
        <w:rPr>
          <w:b/>
        </w:rPr>
        <w:tab/>
      </w:r>
      <w:r w:rsidRPr="001A695A">
        <w:rPr>
          <w:b/>
          <w:lang w:val="en-AU"/>
        </w:rPr>
        <w:t>Variation</w:t>
      </w:r>
    </w:p>
    <w:p w14:paraId="13D3F4C3" w14:textId="77777777" w:rsidR="00001991" w:rsidRPr="001A695A" w:rsidRDefault="00001991" w:rsidP="00001991">
      <w:pPr>
        <w:rPr>
          <w:b/>
        </w:rPr>
      </w:pPr>
    </w:p>
    <w:p w14:paraId="74367D2E" w14:textId="5A2CB058" w:rsidR="00C372B4" w:rsidRPr="001E0CD5" w:rsidRDefault="00C372B4" w:rsidP="00C372B4">
      <w:pPr>
        <w:rPr>
          <w:color w:val="000000" w:themeColor="text1"/>
        </w:rPr>
      </w:pPr>
      <w:r w:rsidRPr="001E0CD5">
        <w:rPr>
          <w:color w:val="000000" w:themeColor="text1"/>
        </w:rPr>
        <w:t xml:space="preserve">Item [1] inserts paragraph (d) into item 5 of the table to subsection S26—3(4) </w:t>
      </w:r>
      <w:r w:rsidR="00F42967">
        <w:rPr>
          <w:color w:val="000000" w:themeColor="text1"/>
        </w:rPr>
        <w:t>in</w:t>
      </w:r>
      <w:r w:rsidR="00F42967" w:rsidRPr="001E0CD5">
        <w:rPr>
          <w:color w:val="000000" w:themeColor="text1"/>
        </w:rPr>
        <w:t xml:space="preserve"> </w:t>
      </w:r>
      <w:r w:rsidRPr="001E0CD5">
        <w:rPr>
          <w:color w:val="000000" w:themeColor="text1"/>
        </w:rPr>
        <w:t>Schedule 26. The new paragraph refers to reduced acrylamide potential and reduced browning potato line E12.</w:t>
      </w:r>
      <w:r w:rsidRPr="001E0CD5">
        <w:rPr>
          <w:color w:val="000000" w:themeColor="text1"/>
          <w:lang w:val="en-AU"/>
        </w:rPr>
        <w:t xml:space="preserve"> The effect of the variation is to permit </w:t>
      </w:r>
      <w:r w:rsidRPr="001E0CD5">
        <w:rPr>
          <w:color w:val="000000" w:themeColor="text1"/>
        </w:rPr>
        <w:t>the sale and use of food derived from that potato line</w:t>
      </w:r>
      <w:r w:rsidRPr="001E0CD5">
        <w:rPr>
          <w:color w:val="000000" w:themeColor="text1"/>
          <w:lang w:val="en-AU"/>
        </w:rPr>
        <w:t xml:space="preserve"> in accordance with Standard 1.5.2</w:t>
      </w:r>
      <w:r w:rsidRPr="001E0CD5">
        <w:rPr>
          <w:color w:val="000000" w:themeColor="text1"/>
        </w:rPr>
        <w:t>.</w:t>
      </w:r>
    </w:p>
    <w:p w14:paraId="45618DC5" w14:textId="013D007F" w:rsidR="00001991" w:rsidRPr="001A695A" w:rsidRDefault="00001991" w:rsidP="00C372B4"/>
    <w:sectPr w:rsidR="00001991" w:rsidRPr="001A695A" w:rsidSect="00D4713D">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2CF74" w14:textId="77777777" w:rsidR="0014738D" w:rsidRDefault="0014738D">
      <w:r>
        <w:separator/>
      </w:r>
    </w:p>
  </w:endnote>
  <w:endnote w:type="continuationSeparator" w:id="0">
    <w:p w14:paraId="1451AB45" w14:textId="77777777" w:rsidR="0014738D" w:rsidRDefault="0014738D">
      <w:r>
        <w:continuationSeparator/>
      </w:r>
    </w:p>
  </w:endnote>
  <w:endnote w:type="continuationNotice" w:id="1">
    <w:p w14:paraId="31BC7248" w14:textId="77777777" w:rsidR="0014738D" w:rsidRDefault="00147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B13ACE" w:rsidRDefault="00B13AC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B13ACE" w:rsidRDefault="00B13A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B13ACE" w:rsidRDefault="00B13ACE" w:rsidP="00A671E6">
        <w:pPr>
          <w:pStyle w:val="Footer"/>
          <w:jc w:val="center"/>
        </w:pPr>
        <w:r>
          <w:fldChar w:fldCharType="begin"/>
        </w:r>
        <w:r>
          <w:instrText xml:space="preserve"> PAGE   \* MERGEFORMAT </w:instrText>
        </w:r>
        <w:r>
          <w:fldChar w:fldCharType="separate"/>
        </w:r>
        <w:r w:rsidR="00DB7669">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81A57" w14:textId="77777777" w:rsidR="00DB7669" w:rsidRDefault="00DB7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571E" w14:textId="77777777" w:rsidR="0014738D" w:rsidRDefault="0014738D">
      <w:r>
        <w:separator/>
      </w:r>
    </w:p>
  </w:footnote>
  <w:footnote w:type="continuationSeparator" w:id="0">
    <w:p w14:paraId="276FDB4C" w14:textId="77777777" w:rsidR="0014738D" w:rsidRDefault="0014738D">
      <w:r>
        <w:continuationSeparator/>
      </w:r>
    </w:p>
  </w:footnote>
  <w:footnote w:type="continuationNotice" w:id="1">
    <w:p w14:paraId="7A937F6E" w14:textId="77777777" w:rsidR="0014738D" w:rsidRDefault="0014738D"/>
  </w:footnote>
  <w:footnote w:id="2">
    <w:p w14:paraId="34EB29D6" w14:textId="77777777" w:rsidR="007C31FF" w:rsidRPr="0038635B" w:rsidRDefault="007C31FF" w:rsidP="007C31FF">
      <w:pPr>
        <w:pStyle w:val="FootnoteText"/>
        <w:rPr>
          <w:lang w:val="en-AU"/>
        </w:rPr>
      </w:pPr>
      <w:r w:rsidRPr="007C31FF">
        <w:rPr>
          <w:rStyle w:val="FootnoteReference"/>
          <w:sz w:val="18"/>
        </w:rPr>
        <w:footnoteRef/>
      </w:r>
      <w:r w:rsidRPr="007C31FF">
        <w:rPr>
          <w:sz w:val="18"/>
        </w:rPr>
        <w:t xml:space="preserve"> </w:t>
      </w:r>
      <w:hyperlink r:id="rId1" w:history="1">
        <w:r w:rsidRPr="007C31FF">
          <w:rPr>
            <w:rStyle w:val="Hyperlink"/>
            <w:sz w:val="18"/>
          </w:rPr>
          <w:t>http://www.foodstandards.gov.au/code/applications/Pages/A1128GMPotatoE12.aspx</w:t>
        </w:r>
      </w:hyperlink>
    </w:p>
  </w:footnote>
  <w:footnote w:id="3">
    <w:p w14:paraId="0EF9235E" w14:textId="6429BCCA" w:rsidR="00B13ACE" w:rsidRPr="00994159" w:rsidRDefault="00B13ACE">
      <w:pPr>
        <w:pStyle w:val="FootnoteText"/>
      </w:pPr>
      <w:r>
        <w:rPr>
          <w:rStyle w:val="FootnoteReference"/>
        </w:rPr>
        <w:footnoteRef/>
      </w:r>
      <w:r>
        <w:t xml:space="preserve"> </w:t>
      </w:r>
      <w:hyperlink r:id="rId2" w:history="1">
        <w:r w:rsidRPr="00DD6584">
          <w:rPr>
            <w:rStyle w:val="Hyperlink"/>
          </w:rPr>
          <w:t>https://www.change.org/</w:t>
        </w:r>
      </w:hyperlink>
    </w:p>
  </w:footnote>
  <w:footnote w:id="4">
    <w:p w14:paraId="5AB0C809" w14:textId="2EB8533D" w:rsidR="00B13ACE" w:rsidRPr="00994159" w:rsidRDefault="00B13ACE">
      <w:pPr>
        <w:pStyle w:val="FootnoteText"/>
      </w:pPr>
      <w:r>
        <w:rPr>
          <w:rStyle w:val="FootnoteReference"/>
        </w:rPr>
        <w:footnoteRef/>
      </w:r>
      <w:r>
        <w:t xml:space="preserve"> </w:t>
      </w:r>
      <w:hyperlink r:id="rId3" w:history="1">
        <w:r w:rsidRPr="00DD6584">
          <w:rPr>
            <w:rStyle w:val="Hyperlink"/>
          </w:rPr>
          <w:t>http://www.ogtr.gov.au/</w:t>
        </w:r>
      </w:hyperlink>
    </w:p>
  </w:footnote>
  <w:footnote w:id="5">
    <w:p w14:paraId="7A68F1F8" w14:textId="73B1A0F3" w:rsidR="00B13ACE" w:rsidRPr="00994159" w:rsidRDefault="00B13ACE">
      <w:pPr>
        <w:pStyle w:val="FootnoteText"/>
      </w:pPr>
      <w:r>
        <w:rPr>
          <w:rStyle w:val="FootnoteReference"/>
        </w:rPr>
        <w:footnoteRef/>
      </w:r>
      <w:r>
        <w:t xml:space="preserve"> </w:t>
      </w:r>
      <w:hyperlink r:id="rId4" w:history="1">
        <w:r w:rsidRPr="00DD6584">
          <w:rPr>
            <w:rStyle w:val="Hyperlink"/>
          </w:rPr>
          <w:t>http://www.epa.govt.nz/Pages/default.aspx</w:t>
        </w:r>
      </w:hyperlink>
    </w:p>
  </w:footnote>
  <w:footnote w:id="6">
    <w:p w14:paraId="55C3D34A" w14:textId="1F50A179" w:rsidR="00B13ACE" w:rsidRPr="00994159" w:rsidRDefault="00B13ACE">
      <w:pPr>
        <w:pStyle w:val="FootnoteText"/>
        <w:rPr>
          <w:lang w:val="en-AU"/>
        </w:rPr>
      </w:pPr>
      <w:r w:rsidRPr="007C31FF">
        <w:rPr>
          <w:rStyle w:val="FootnoteReference"/>
          <w:sz w:val="18"/>
        </w:rPr>
        <w:footnoteRef/>
      </w:r>
      <w:r w:rsidRPr="007C31FF">
        <w:rPr>
          <w:sz w:val="18"/>
        </w:rPr>
        <w:t xml:space="preserve"> </w:t>
      </w:r>
      <w:hyperlink r:id="rId5" w:history="1">
        <w:r w:rsidRPr="007C31FF">
          <w:rPr>
            <w:rStyle w:val="Hyperlink"/>
            <w:sz w:val="18"/>
          </w:rPr>
          <w:t>http://www.foodstandards.gov.au/consumer/gmfood/labelling/Pages/default.aspx</w:t>
        </w:r>
      </w:hyperlink>
    </w:p>
  </w:footnote>
  <w:footnote w:id="7">
    <w:p w14:paraId="67BD31C5" w14:textId="188E2FB5" w:rsidR="00B13ACE" w:rsidRPr="007C31FF" w:rsidRDefault="00B13ACE">
      <w:pPr>
        <w:pStyle w:val="FootnoteText"/>
        <w:rPr>
          <w:sz w:val="18"/>
          <w:szCs w:val="18"/>
        </w:rPr>
      </w:pPr>
      <w:r w:rsidRPr="007C31FF">
        <w:rPr>
          <w:rStyle w:val="FootnoteReference"/>
          <w:sz w:val="18"/>
          <w:szCs w:val="18"/>
        </w:rPr>
        <w:footnoteRef/>
      </w:r>
      <w:r w:rsidRPr="007C31FF">
        <w:rPr>
          <w:sz w:val="18"/>
          <w:szCs w:val="18"/>
        </w:rPr>
        <w:t xml:space="preserve"> </w:t>
      </w:r>
      <w:hyperlink r:id="rId6" w:history="1">
        <w:r w:rsidRPr="007C31FF">
          <w:rPr>
            <w:rStyle w:val="Hyperlink"/>
            <w:sz w:val="18"/>
            <w:szCs w:val="18"/>
          </w:rPr>
          <w:t>http://www.foodstandards.gov.au/consumer/gmfood/pages/roleofanimalfeedings3717.aspx</w:t>
        </w:r>
      </w:hyperlink>
    </w:p>
  </w:footnote>
  <w:footnote w:id="8">
    <w:p w14:paraId="6B329813" w14:textId="2EED3A52" w:rsidR="00B13ACE" w:rsidRPr="006429CC" w:rsidRDefault="00B13ACE">
      <w:pPr>
        <w:pStyle w:val="FootnoteText"/>
        <w:rPr>
          <w:lang w:val="en-AU"/>
        </w:rPr>
      </w:pPr>
      <w:r w:rsidRPr="007C31FF">
        <w:rPr>
          <w:rStyle w:val="FootnoteReference"/>
          <w:sz w:val="18"/>
          <w:szCs w:val="18"/>
        </w:rPr>
        <w:footnoteRef/>
      </w:r>
      <w:r w:rsidRPr="007C31FF">
        <w:rPr>
          <w:sz w:val="18"/>
          <w:szCs w:val="18"/>
        </w:rPr>
        <w:t xml:space="preserve"> </w:t>
      </w:r>
      <w:r w:rsidR="007C31FF" w:rsidRPr="007C31FF">
        <w:rPr>
          <w:sz w:val="18"/>
          <w:szCs w:val="18"/>
        </w:rPr>
        <w:t>Nunes, F.M.F.;</w:t>
      </w:r>
      <w:r w:rsidR="007C31FF">
        <w:rPr>
          <w:sz w:val="18"/>
          <w:szCs w:val="18"/>
        </w:rPr>
        <w:t xml:space="preserve"> </w:t>
      </w:r>
      <w:r w:rsidR="007C31FF" w:rsidRPr="007C31FF">
        <w:rPr>
          <w:sz w:val="18"/>
          <w:szCs w:val="18"/>
        </w:rPr>
        <w:t>Aleixo, A.C.;</w:t>
      </w:r>
      <w:r w:rsidR="007C31FF">
        <w:rPr>
          <w:sz w:val="18"/>
          <w:szCs w:val="18"/>
        </w:rPr>
        <w:t xml:space="preserve"> </w:t>
      </w:r>
      <w:r w:rsidR="007C31FF" w:rsidRPr="007C31FF">
        <w:rPr>
          <w:sz w:val="18"/>
          <w:szCs w:val="18"/>
        </w:rPr>
        <w:t>Barchuk, A.R.;</w:t>
      </w:r>
      <w:r w:rsidR="007C31FF">
        <w:rPr>
          <w:sz w:val="18"/>
          <w:szCs w:val="18"/>
        </w:rPr>
        <w:t xml:space="preserve"> </w:t>
      </w:r>
      <w:r w:rsidR="007C31FF" w:rsidRPr="007C31FF">
        <w:rPr>
          <w:sz w:val="18"/>
          <w:szCs w:val="18"/>
        </w:rPr>
        <w:t>Bomtorin, A.D.;</w:t>
      </w:r>
      <w:r w:rsidR="007C31FF">
        <w:rPr>
          <w:sz w:val="18"/>
          <w:szCs w:val="18"/>
        </w:rPr>
        <w:t xml:space="preserve"> </w:t>
      </w:r>
      <w:r w:rsidR="007C31FF" w:rsidRPr="007C31FF">
        <w:rPr>
          <w:sz w:val="18"/>
          <w:szCs w:val="18"/>
        </w:rPr>
        <w:t xml:space="preserve">Grozinger, C.M.; Simoes, Z.L.P. (2013). </w:t>
      </w:r>
      <w:r w:rsidRPr="007C31FF">
        <w:rPr>
          <w:sz w:val="18"/>
          <w:szCs w:val="18"/>
        </w:rPr>
        <w:t>Non-target effects of green fluorescent protein (GFP)-derived double stranded RNA (dsRNA-GFP) used in honey bee RNA interference (RNAi) assays. Insects 4: 90 – 103.</w:t>
      </w:r>
    </w:p>
  </w:footnote>
  <w:footnote w:id="9">
    <w:p w14:paraId="52D7C9A6" w14:textId="17412D7A" w:rsidR="00B13ACE" w:rsidRPr="007C31FF" w:rsidRDefault="00B13ACE">
      <w:pPr>
        <w:pStyle w:val="FootnoteText"/>
        <w:rPr>
          <w:sz w:val="18"/>
          <w:lang w:val="en-AU"/>
        </w:rPr>
      </w:pPr>
      <w:r w:rsidRPr="007C31FF">
        <w:rPr>
          <w:rStyle w:val="FootnoteReference"/>
          <w:sz w:val="18"/>
        </w:rPr>
        <w:footnoteRef/>
      </w:r>
      <w:r w:rsidRPr="007C31FF">
        <w:rPr>
          <w:sz w:val="18"/>
        </w:rPr>
        <w:t xml:space="preserve"> </w:t>
      </w:r>
      <w:hyperlink r:id="rId7" w:history="1">
        <w:r w:rsidRPr="007C31FF">
          <w:rPr>
            <w:rStyle w:val="Hyperlink"/>
            <w:sz w:val="18"/>
          </w:rPr>
          <w:t>http://www.foodstandards.gov.au/publications/Pages/24th-Australian-Total-Diet-Study.aspx</w:t>
        </w:r>
      </w:hyperlink>
      <w:r w:rsidRPr="007C31FF">
        <w:rPr>
          <w:sz w:val="18"/>
        </w:rPr>
        <w:t xml:space="preserve"> </w:t>
      </w:r>
    </w:p>
  </w:footnote>
  <w:footnote w:id="10">
    <w:p w14:paraId="4157B59A" w14:textId="21B0F99A" w:rsidR="00B13ACE" w:rsidRPr="0038635B" w:rsidRDefault="00B13ACE">
      <w:pPr>
        <w:pStyle w:val="FootnoteText"/>
        <w:rPr>
          <w:lang w:val="en-AU"/>
        </w:rPr>
      </w:pPr>
      <w:r w:rsidRPr="007C31FF">
        <w:rPr>
          <w:rStyle w:val="FootnoteReference"/>
          <w:sz w:val="18"/>
        </w:rPr>
        <w:footnoteRef/>
      </w:r>
      <w:r w:rsidRPr="007C31FF">
        <w:rPr>
          <w:sz w:val="18"/>
        </w:rPr>
        <w:t xml:space="preserve"> </w:t>
      </w:r>
      <w:hyperlink r:id="rId8" w:history="1">
        <w:r w:rsidRPr="007C31FF">
          <w:rPr>
            <w:rStyle w:val="Hyperlink"/>
            <w:sz w:val="18"/>
          </w:rPr>
          <w:t>http://www.foodstandards.gov.au/consumer/chemicals/acrylamide/Pages/default.aspx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EDCA8" w14:textId="77777777" w:rsidR="00DB7669" w:rsidRDefault="00DB7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C48C6" w14:textId="77777777" w:rsidR="00DB7669" w:rsidRDefault="00DB7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B13ACE" w:rsidRDefault="00B13AC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92E7B"/>
    <w:multiLevelType w:val="hybridMultilevel"/>
    <w:tmpl w:val="FFF614EA"/>
    <w:lvl w:ilvl="0" w:tplc="37F8B72E">
      <w:start w:val="3"/>
      <w:numFmt w:val="bullet"/>
      <w:lvlText w:val="-"/>
      <w:lvlJc w:val="left"/>
      <w:pPr>
        <w:ind w:left="510" w:hanging="360"/>
      </w:pPr>
      <w:rPr>
        <w:rFonts w:ascii="Arial" w:eastAsia="Times New Roma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67292"/>
    <w:multiLevelType w:val="hybridMultilevel"/>
    <w:tmpl w:val="7640E064"/>
    <w:lvl w:ilvl="0" w:tplc="EC0AC47C">
      <w:start w:val="3"/>
      <w:numFmt w:val="bullet"/>
      <w:lvlText w:val="-"/>
      <w:lvlJc w:val="left"/>
      <w:pPr>
        <w:ind w:left="510" w:hanging="360"/>
      </w:pPr>
      <w:rPr>
        <w:rFonts w:ascii="Arial" w:eastAsia="Times New Roma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AC782F"/>
    <w:multiLevelType w:val="hybridMultilevel"/>
    <w:tmpl w:val="C5DE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F23B5D"/>
    <w:multiLevelType w:val="hybridMultilevel"/>
    <w:tmpl w:val="665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4779FF"/>
    <w:multiLevelType w:val="hybridMultilevel"/>
    <w:tmpl w:val="686E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4"/>
  </w:num>
  <w:num w:numId="2">
    <w:abstractNumId w:val="8"/>
  </w:num>
  <w:num w:numId="3">
    <w:abstractNumId w:val="3"/>
  </w:num>
  <w:num w:numId="4">
    <w:abstractNumId w:val="9"/>
  </w:num>
  <w:num w:numId="5">
    <w:abstractNumId w:val="5"/>
  </w:num>
  <w:num w:numId="6">
    <w:abstractNumId w:val="10"/>
  </w:num>
  <w:num w:numId="7">
    <w:abstractNumId w:val="17"/>
  </w:num>
  <w:num w:numId="8">
    <w:abstractNumId w:val="7"/>
  </w:num>
  <w:num w:numId="9">
    <w:abstractNumId w:val="14"/>
  </w:num>
  <w:num w:numId="10">
    <w:abstractNumId w:val="1"/>
  </w:num>
  <w:num w:numId="11">
    <w:abstractNumId w:val="15"/>
  </w:num>
  <w:num w:numId="12">
    <w:abstractNumId w:val="16"/>
  </w:num>
  <w:num w:numId="13">
    <w:abstractNumId w:val="18"/>
  </w:num>
  <w:num w:numId="14">
    <w:abstractNumId w:val="0"/>
  </w:num>
  <w:num w:numId="15">
    <w:abstractNumId w:val="12"/>
  </w:num>
  <w:num w:numId="16">
    <w:abstractNumId w:val="6"/>
  </w:num>
  <w:num w:numId="17">
    <w:abstractNumId w:val="2"/>
  </w:num>
  <w:num w:numId="18">
    <w:abstractNumId w:val="13"/>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337CBC"/>
    <w:rsid w:val="000008A6"/>
    <w:rsid w:val="00001991"/>
    <w:rsid w:val="0000247B"/>
    <w:rsid w:val="0000469B"/>
    <w:rsid w:val="00010E79"/>
    <w:rsid w:val="00011187"/>
    <w:rsid w:val="00011E33"/>
    <w:rsid w:val="00014E34"/>
    <w:rsid w:val="00017416"/>
    <w:rsid w:val="0002074C"/>
    <w:rsid w:val="00021049"/>
    <w:rsid w:val="00032D6A"/>
    <w:rsid w:val="000332AE"/>
    <w:rsid w:val="00035FF3"/>
    <w:rsid w:val="000368FC"/>
    <w:rsid w:val="0003771B"/>
    <w:rsid w:val="000418F0"/>
    <w:rsid w:val="00044956"/>
    <w:rsid w:val="00051021"/>
    <w:rsid w:val="000524F0"/>
    <w:rsid w:val="00052D54"/>
    <w:rsid w:val="0005480E"/>
    <w:rsid w:val="00056523"/>
    <w:rsid w:val="0005678E"/>
    <w:rsid w:val="000576EB"/>
    <w:rsid w:val="0006192F"/>
    <w:rsid w:val="000635B6"/>
    <w:rsid w:val="00064B2D"/>
    <w:rsid w:val="00065F1F"/>
    <w:rsid w:val="00067BB2"/>
    <w:rsid w:val="00072D9E"/>
    <w:rsid w:val="000754F8"/>
    <w:rsid w:val="00076026"/>
    <w:rsid w:val="00076D33"/>
    <w:rsid w:val="00076D3B"/>
    <w:rsid w:val="00077859"/>
    <w:rsid w:val="00077AEA"/>
    <w:rsid w:val="00077F93"/>
    <w:rsid w:val="000807DB"/>
    <w:rsid w:val="00081B0A"/>
    <w:rsid w:val="00083341"/>
    <w:rsid w:val="00085ABB"/>
    <w:rsid w:val="000872FF"/>
    <w:rsid w:val="0009116E"/>
    <w:rsid w:val="000928B8"/>
    <w:rsid w:val="000956D3"/>
    <w:rsid w:val="000A0E8D"/>
    <w:rsid w:val="000A2ABA"/>
    <w:rsid w:val="000A3D8B"/>
    <w:rsid w:val="000A71CE"/>
    <w:rsid w:val="000A74C4"/>
    <w:rsid w:val="000B2BEE"/>
    <w:rsid w:val="000B427A"/>
    <w:rsid w:val="000B6AF2"/>
    <w:rsid w:val="000C17AA"/>
    <w:rsid w:val="000C2AC0"/>
    <w:rsid w:val="000C4911"/>
    <w:rsid w:val="000C7787"/>
    <w:rsid w:val="000C78CC"/>
    <w:rsid w:val="000D1122"/>
    <w:rsid w:val="000D12A9"/>
    <w:rsid w:val="000D4B7E"/>
    <w:rsid w:val="000D6FD4"/>
    <w:rsid w:val="000D7B1C"/>
    <w:rsid w:val="000E0AE4"/>
    <w:rsid w:val="000E1EA4"/>
    <w:rsid w:val="000E398E"/>
    <w:rsid w:val="000E3DBC"/>
    <w:rsid w:val="000E662F"/>
    <w:rsid w:val="000F3CFE"/>
    <w:rsid w:val="000F6568"/>
    <w:rsid w:val="00101AC4"/>
    <w:rsid w:val="00102819"/>
    <w:rsid w:val="001041CB"/>
    <w:rsid w:val="00104544"/>
    <w:rsid w:val="001054DF"/>
    <w:rsid w:val="0010778D"/>
    <w:rsid w:val="001122EC"/>
    <w:rsid w:val="00112CE7"/>
    <w:rsid w:val="0012388D"/>
    <w:rsid w:val="00125642"/>
    <w:rsid w:val="00130B35"/>
    <w:rsid w:val="001330C6"/>
    <w:rsid w:val="00136B57"/>
    <w:rsid w:val="00137F1D"/>
    <w:rsid w:val="0014738D"/>
    <w:rsid w:val="00150B54"/>
    <w:rsid w:val="0015187A"/>
    <w:rsid w:val="00152919"/>
    <w:rsid w:val="00163FE7"/>
    <w:rsid w:val="00171C4A"/>
    <w:rsid w:val="00173BCE"/>
    <w:rsid w:val="00176C6A"/>
    <w:rsid w:val="00180F3D"/>
    <w:rsid w:val="00182C4C"/>
    <w:rsid w:val="00183B79"/>
    <w:rsid w:val="001878C5"/>
    <w:rsid w:val="0019399D"/>
    <w:rsid w:val="00197D8D"/>
    <w:rsid w:val="001A1A75"/>
    <w:rsid w:val="001A29A7"/>
    <w:rsid w:val="001A695A"/>
    <w:rsid w:val="001A7920"/>
    <w:rsid w:val="001A7E9A"/>
    <w:rsid w:val="001C27A3"/>
    <w:rsid w:val="001D43F6"/>
    <w:rsid w:val="001E09FA"/>
    <w:rsid w:val="001E642E"/>
    <w:rsid w:val="001F3229"/>
    <w:rsid w:val="001F4CF0"/>
    <w:rsid w:val="001F5B84"/>
    <w:rsid w:val="00201043"/>
    <w:rsid w:val="00202A6F"/>
    <w:rsid w:val="0020341A"/>
    <w:rsid w:val="00207E49"/>
    <w:rsid w:val="002108AB"/>
    <w:rsid w:val="0021266C"/>
    <w:rsid w:val="0022197C"/>
    <w:rsid w:val="00221D07"/>
    <w:rsid w:val="00224E3B"/>
    <w:rsid w:val="00227E4A"/>
    <w:rsid w:val="0023668E"/>
    <w:rsid w:val="00240E94"/>
    <w:rsid w:val="002418E3"/>
    <w:rsid w:val="002421C1"/>
    <w:rsid w:val="00242876"/>
    <w:rsid w:val="00250197"/>
    <w:rsid w:val="002525E6"/>
    <w:rsid w:val="002608BF"/>
    <w:rsid w:val="0026146F"/>
    <w:rsid w:val="00264254"/>
    <w:rsid w:val="002758A0"/>
    <w:rsid w:val="0029204E"/>
    <w:rsid w:val="002A0194"/>
    <w:rsid w:val="002A5F8B"/>
    <w:rsid w:val="002A6C5C"/>
    <w:rsid w:val="002A6F67"/>
    <w:rsid w:val="002A7F6C"/>
    <w:rsid w:val="002B0071"/>
    <w:rsid w:val="002C1A3B"/>
    <w:rsid w:val="002C5A1E"/>
    <w:rsid w:val="002D07B9"/>
    <w:rsid w:val="002D45BA"/>
    <w:rsid w:val="002D4A06"/>
    <w:rsid w:val="002E0F08"/>
    <w:rsid w:val="002E16D5"/>
    <w:rsid w:val="002E1820"/>
    <w:rsid w:val="002E40B7"/>
    <w:rsid w:val="002E740B"/>
    <w:rsid w:val="002F1833"/>
    <w:rsid w:val="002F35EA"/>
    <w:rsid w:val="002F6488"/>
    <w:rsid w:val="002F76D0"/>
    <w:rsid w:val="003029C3"/>
    <w:rsid w:val="00305C54"/>
    <w:rsid w:val="003075B8"/>
    <w:rsid w:val="00307AD8"/>
    <w:rsid w:val="0031016C"/>
    <w:rsid w:val="0031426B"/>
    <w:rsid w:val="003213F9"/>
    <w:rsid w:val="00323AB6"/>
    <w:rsid w:val="00323DBF"/>
    <w:rsid w:val="0032409C"/>
    <w:rsid w:val="003251C3"/>
    <w:rsid w:val="00327867"/>
    <w:rsid w:val="0032789D"/>
    <w:rsid w:val="00332B12"/>
    <w:rsid w:val="003357F1"/>
    <w:rsid w:val="00337CBC"/>
    <w:rsid w:val="00340CD2"/>
    <w:rsid w:val="00341CE1"/>
    <w:rsid w:val="003428FC"/>
    <w:rsid w:val="003507DB"/>
    <w:rsid w:val="00351B07"/>
    <w:rsid w:val="00353BD5"/>
    <w:rsid w:val="00360155"/>
    <w:rsid w:val="0036533D"/>
    <w:rsid w:val="00371B29"/>
    <w:rsid w:val="003741CB"/>
    <w:rsid w:val="003753D0"/>
    <w:rsid w:val="003766F8"/>
    <w:rsid w:val="00380106"/>
    <w:rsid w:val="003814F0"/>
    <w:rsid w:val="00381E07"/>
    <w:rsid w:val="00382DD2"/>
    <w:rsid w:val="00383E43"/>
    <w:rsid w:val="00385788"/>
    <w:rsid w:val="0038635B"/>
    <w:rsid w:val="00391769"/>
    <w:rsid w:val="00394B08"/>
    <w:rsid w:val="003953E1"/>
    <w:rsid w:val="003956B3"/>
    <w:rsid w:val="003956DB"/>
    <w:rsid w:val="003A0A4D"/>
    <w:rsid w:val="003A3D30"/>
    <w:rsid w:val="003A476A"/>
    <w:rsid w:val="003A68BE"/>
    <w:rsid w:val="003A7B84"/>
    <w:rsid w:val="003C0320"/>
    <w:rsid w:val="003C1183"/>
    <w:rsid w:val="003C279D"/>
    <w:rsid w:val="003C2E34"/>
    <w:rsid w:val="003C4969"/>
    <w:rsid w:val="003C7CCB"/>
    <w:rsid w:val="003D2CDC"/>
    <w:rsid w:val="003E0428"/>
    <w:rsid w:val="003E30C7"/>
    <w:rsid w:val="003E3D02"/>
    <w:rsid w:val="003E41D5"/>
    <w:rsid w:val="003E46BA"/>
    <w:rsid w:val="003F255F"/>
    <w:rsid w:val="003F5008"/>
    <w:rsid w:val="003F6BBA"/>
    <w:rsid w:val="003F74C1"/>
    <w:rsid w:val="004003CB"/>
    <w:rsid w:val="00401ADE"/>
    <w:rsid w:val="0040411A"/>
    <w:rsid w:val="00405B1A"/>
    <w:rsid w:val="00410C76"/>
    <w:rsid w:val="00411907"/>
    <w:rsid w:val="00414D18"/>
    <w:rsid w:val="00415A20"/>
    <w:rsid w:val="00417EE3"/>
    <w:rsid w:val="004207EB"/>
    <w:rsid w:val="00421730"/>
    <w:rsid w:val="00422EC9"/>
    <w:rsid w:val="00423AC7"/>
    <w:rsid w:val="004254D2"/>
    <w:rsid w:val="00432A42"/>
    <w:rsid w:val="00436C4E"/>
    <w:rsid w:val="00437276"/>
    <w:rsid w:val="00440269"/>
    <w:rsid w:val="00440E04"/>
    <w:rsid w:val="0044510F"/>
    <w:rsid w:val="004466C4"/>
    <w:rsid w:val="004503DB"/>
    <w:rsid w:val="00452D21"/>
    <w:rsid w:val="00453646"/>
    <w:rsid w:val="00456B54"/>
    <w:rsid w:val="00456BD5"/>
    <w:rsid w:val="00464643"/>
    <w:rsid w:val="00486629"/>
    <w:rsid w:val="00486793"/>
    <w:rsid w:val="00486C66"/>
    <w:rsid w:val="00493AB7"/>
    <w:rsid w:val="00494A3F"/>
    <w:rsid w:val="004A2037"/>
    <w:rsid w:val="004A6549"/>
    <w:rsid w:val="004A793C"/>
    <w:rsid w:val="004A7BF7"/>
    <w:rsid w:val="004B047B"/>
    <w:rsid w:val="004B4CDC"/>
    <w:rsid w:val="004B57DC"/>
    <w:rsid w:val="004C355D"/>
    <w:rsid w:val="004C4F4B"/>
    <w:rsid w:val="004C6C70"/>
    <w:rsid w:val="004D121E"/>
    <w:rsid w:val="004D1B1C"/>
    <w:rsid w:val="004D6642"/>
    <w:rsid w:val="004E0487"/>
    <w:rsid w:val="004E17C2"/>
    <w:rsid w:val="004E4F79"/>
    <w:rsid w:val="004F4F98"/>
    <w:rsid w:val="004F69F6"/>
    <w:rsid w:val="004F79AC"/>
    <w:rsid w:val="00506E9B"/>
    <w:rsid w:val="005148B1"/>
    <w:rsid w:val="005207D8"/>
    <w:rsid w:val="00521254"/>
    <w:rsid w:val="005222B8"/>
    <w:rsid w:val="005237C4"/>
    <w:rsid w:val="00523930"/>
    <w:rsid w:val="005244F1"/>
    <w:rsid w:val="0052652E"/>
    <w:rsid w:val="00531879"/>
    <w:rsid w:val="005340B1"/>
    <w:rsid w:val="00537CDC"/>
    <w:rsid w:val="00540BD0"/>
    <w:rsid w:val="0055588A"/>
    <w:rsid w:val="00560185"/>
    <w:rsid w:val="0056165A"/>
    <w:rsid w:val="00562917"/>
    <w:rsid w:val="00565BB4"/>
    <w:rsid w:val="00567AD7"/>
    <w:rsid w:val="00571B8C"/>
    <w:rsid w:val="005729D0"/>
    <w:rsid w:val="00573029"/>
    <w:rsid w:val="00575217"/>
    <w:rsid w:val="00575FF5"/>
    <w:rsid w:val="00580B2B"/>
    <w:rsid w:val="005811B7"/>
    <w:rsid w:val="00582E32"/>
    <w:rsid w:val="005861D8"/>
    <w:rsid w:val="00586228"/>
    <w:rsid w:val="0059100E"/>
    <w:rsid w:val="005946D3"/>
    <w:rsid w:val="00597631"/>
    <w:rsid w:val="005A3E5A"/>
    <w:rsid w:val="005A4B08"/>
    <w:rsid w:val="005A572E"/>
    <w:rsid w:val="005B0690"/>
    <w:rsid w:val="005B57C4"/>
    <w:rsid w:val="005B5C53"/>
    <w:rsid w:val="005B6AF4"/>
    <w:rsid w:val="005B70C3"/>
    <w:rsid w:val="005C04CB"/>
    <w:rsid w:val="005C10D5"/>
    <w:rsid w:val="005C4B05"/>
    <w:rsid w:val="005D16AD"/>
    <w:rsid w:val="005D2016"/>
    <w:rsid w:val="005D72E1"/>
    <w:rsid w:val="005E29BE"/>
    <w:rsid w:val="005E58D3"/>
    <w:rsid w:val="005E6E16"/>
    <w:rsid w:val="005E71B3"/>
    <w:rsid w:val="005F0A2E"/>
    <w:rsid w:val="005F400E"/>
    <w:rsid w:val="005F7342"/>
    <w:rsid w:val="006014A7"/>
    <w:rsid w:val="00610A3C"/>
    <w:rsid w:val="006138D7"/>
    <w:rsid w:val="00615054"/>
    <w:rsid w:val="00615E83"/>
    <w:rsid w:val="00616017"/>
    <w:rsid w:val="00616540"/>
    <w:rsid w:val="0062144D"/>
    <w:rsid w:val="00627F48"/>
    <w:rsid w:val="00630CCE"/>
    <w:rsid w:val="00630E6F"/>
    <w:rsid w:val="0063455F"/>
    <w:rsid w:val="00635814"/>
    <w:rsid w:val="006362A0"/>
    <w:rsid w:val="006366B5"/>
    <w:rsid w:val="006367E0"/>
    <w:rsid w:val="006429CC"/>
    <w:rsid w:val="00642EB0"/>
    <w:rsid w:val="00643F27"/>
    <w:rsid w:val="00645E9E"/>
    <w:rsid w:val="00663AC8"/>
    <w:rsid w:val="00663FCF"/>
    <w:rsid w:val="006652A2"/>
    <w:rsid w:val="0067068E"/>
    <w:rsid w:val="006717AA"/>
    <w:rsid w:val="00671B0E"/>
    <w:rsid w:val="00683071"/>
    <w:rsid w:val="006849E1"/>
    <w:rsid w:val="00685FDC"/>
    <w:rsid w:val="006915C2"/>
    <w:rsid w:val="00692490"/>
    <w:rsid w:val="0069549A"/>
    <w:rsid w:val="006969CC"/>
    <w:rsid w:val="00696A15"/>
    <w:rsid w:val="006A12B8"/>
    <w:rsid w:val="006A48A7"/>
    <w:rsid w:val="006A4CBA"/>
    <w:rsid w:val="006A5D40"/>
    <w:rsid w:val="006A77D9"/>
    <w:rsid w:val="006B063E"/>
    <w:rsid w:val="006B1B0D"/>
    <w:rsid w:val="006C1225"/>
    <w:rsid w:val="006C22A7"/>
    <w:rsid w:val="006C5CF5"/>
    <w:rsid w:val="006D2107"/>
    <w:rsid w:val="006D33FF"/>
    <w:rsid w:val="006D361C"/>
    <w:rsid w:val="006D3637"/>
    <w:rsid w:val="006E10A1"/>
    <w:rsid w:val="006F4A82"/>
    <w:rsid w:val="0070596A"/>
    <w:rsid w:val="00705B3F"/>
    <w:rsid w:val="00710C37"/>
    <w:rsid w:val="00713771"/>
    <w:rsid w:val="0071698A"/>
    <w:rsid w:val="007249FF"/>
    <w:rsid w:val="00724FA4"/>
    <w:rsid w:val="00730800"/>
    <w:rsid w:val="007356EF"/>
    <w:rsid w:val="00735749"/>
    <w:rsid w:val="007361D5"/>
    <w:rsid w:val="00743298"/>
    <w:rsid w:val="00745D58"/>
    <w:rsid w:val="00747989"/>
    <w:rsid w:val="00747D39"/>
    <w:rsid w:val="0075135E"/>
    <w:rsid w:val="00755F02"/>
    <w:rsid w:val="00756A52"/>
    <w:rsid w:val="007602AA"/>
    <w:rsid w:val="00761EF5"/>
    <w:rsid w:val="007652EF"/>
    <w:rsid w:val="00765421"/>
    <w:rsid w:val="007656D5"/>
    <w:rsid w:val="00765DE1"/>
    <w:rsid w:val="00767B17"/>
    <w:rsid w:val="00770DA3"/>
    <w:rsid w:val="00771228"/>
    <w:rsid w:val="00772BDC"/>
    <w:rsid w:val="00777437"/>
    <w:rsid w:val="00780792"/>
    <w:rsid w:val="0078309E"/>
    <w:rsid w:val="007878B2"/>
    <w:rsid w:val="007918D8"/>
    <w:rsid w:val="00792C06"/>
    <w:rsid w:val="00795D86"/>
    <w:rsid w:val="007A0045"/>
    <w:rsid w:val="007A2F79"/>
    <w:rsid w:val="007A44B4"/>
    <w:rsid w:val="007A53BF"/>
    <w:rsid w:val="007A5928"/>
    <w:rsid w:val="007A7BCE"/>
    <w:rsid w:val="007A7D3D"/>
    <w:rsid w:val="007B225D"/>
    <w:rsid w:val="007B2CD8"/>
    <w:rsid w:val="007B37B3"/>
    <w:rsid w:val="007B63E3"/>
    <w:rsid w:val="007C1C64"/>
    <w:rsid w:val="007C21F4"/>
    <w:rsid w:val="007C22CB"/>
    <w:rsid w:val="007C31FF"/>
    <w:rsid w:val="007D0189"/>
    <w:rsid w:val="007D20A6"/>
    <w:rsid w:val="007D2BAF"/>
    <w:rsid w:val="007D307C"/>
    <w:rsid w:val="007E012F"/>
    <w:rsid w:val="007E48BC"/>
    <w:rsid w:val="007E4C58"/>
    <w:rsid w:val="007E515C"/>
    <w:rsid w:val="007E79F7"/>
    <w:rsid w:val="007E7D1C"/>
    <w:rsid w:val="007F031E"/>
    <w:rsid w:val="007F2274"/>
    <w:rsid w:val="007F3630"/>
    <w:rsid w:val="007F5B55"/>
    <w:rsid w:val="007F7BF7"/>
    <w:rsid w:val="00807559"/>
    <w:rsid w:val="00813464"/>
    <w:rsid w:val="0081700A"/>
    <w:rsid w:val="00817EC8"/>
    <w:rsid w:val="00820569"/>
    <w:rsid w:val="00826976"/>
    <w:rsid w:val="00831154"/>
    <w:rsid w:val="008330FB"/>
    <w:rsid w:val="00835411"/>
    <w:rsid w:val="00835CF8"/>
    <w:rsid w:val="00836D8B"/>
    <w:rsid w:val="00836E02"/>
    <w:rsid w:val="0084010A"/>
    <w:rsid w:val="00840E3F"/>
    <w:rsid w:val="008450BC"/>
    <w:rsid w:val="00845853"/>
    <w:rsid w:val="008459A5"/>
    <w:rsid w:val="00847066"/>
    <w:rsid w:val="00850568"/>
    <w:rsid w:val="00850B09"/>
    <w:rsid w:val="00852370"/>
    <w:rsid w:val="0085334B"/>
    <w:rsid w:val="008537BA"/>
    <w:rsid w:val="00853A16"/>
    <w:rsid w:val="00860808"/>
    <w:rsid w:val="00861C13"/>
    <w:rsid w:val="00862349"/>
    <w:rsid w:val="00864F14"/>
    <w:rsid w:val="0086571E"/>
    <w:rsid w:val="00870214"/>
    <w:rsid w:val="008703E4"/>
    <w:rsid w:val="00871116"/>
    <w:rsid w:val="00871FBA"/>
    <w:rsid w:val="00882D35"/>
    <w:rsid w:val="00885C51"/>
    <w:rsid w:val="00892ABE"/>
    <w:rsid w:val="00896B85"/>
    <w:rsid w:val="008A0ED9"/>
    <w:rsid w:val="008A243D"/>
    <w:rsid w:val="008C6CA1"/>
    <w:rsid w:val="008D06C6"/>
    <w:rsid w:val="008D5E9D"/>
    <w:rsid w:val="008E6250"/>
    <w:rsid w:val="008F099A"/>
    <w:rsid w:val="008F26AB"/>
    <w:rsid w:val="008F2F92"/>
    <w:rsid w:val="008F43D6"/>
    <w:rsid w:val="009008B0"/>
    <w:rsid w:val="00903606"/>
    <w:rsid w:val="00903EF0"/>
    <w:rsid w:val="009137B0"/>
    <w:rsid w:val="00917B65"/>
    <w:rsid w:val="00920249"/>
    <w:rsid w:val="00926C4D"/>
    <w:rsid w:val="00927684"/>
    <w:rsid w:val="00932F14"/>
    <w:rsid w:val="00934F89"/>
    <w:rsid w:val="00942297"/>
    <w:rsid w:val="0094247F"/>
    <w:rsid w:val="00942D60"/>
    <w:rsid w:val="00944EAB"/>
    <w:rsid w:val="00945039"/>
    <w:rsid w:val="009460FA"/>
    <w:rsid w:val="00947534"/>
    <w:rsid w:val="009478A1"/>
    <w:rsid w:val="00950EA2"/>
    <w:rsid w:val="009558BA"/>
    <w:rsid w:val="00961352"/>
    <w:rsid w:val="0096523B"/>
    <w:rsid w:val="00972D06"/>
    <w:rsid w:val="0097684D"/>
    <w:rsid w:val="00977916"/>
    <w:rsid w:val="00977969"/>
    <w:rsid w:val="0098024A"/>
    <w:rsid w:val="00981FB6"/>
    <w:rsid w:val="0098384C"/>
    <w:rsid w:val="00986A42"/>
    <w:rsid w:val="00992138"/>
    <w:rsid w:val="00992434"/>
    <w:rsid w:val="0099323D"/>
    <w:rsid w:val="00994159"/>
    <w:rsid w:val="00994810"/>
    <w:rsid w:val="00994B7B"/>
    <w:rsid w:val="0099623A"/>
    <w:rsid w:val="009A2699"/>
    <w:rsid w:val="009A2DC9"/>
    <w:rsid w:val="009A391C"/>
    <w:rsid w:val="009A7062"/>
    <w:rsid w:val="009C61A4"/>
    <w:rsid w:val="009D6A92"/>
    <w:rsid w:val="009E0A61"/>
    <w:rsid w:val="009E3010"/>
    <w:rsid w:val="009E44DC"/>
    <w:rsid w:val="009E46F5"/>
    <w:rsid w:val="009F621A"/>
    <w:rsid w:val="009F7065"/>
    <w:rsid w:val="00A0179A"/>
    <w:rsid w:val="00A03AFC"/>
    <w:rsid w:val="00A1178A"/>
    <w:rsid w:val="00A120F8"/>
    <w:rsid w:val="00A1336A"/>
    <w:rsid w:val="00A1648A"/>
    <w:rsid w:val="00A235F9"/>
    <w:rsid w:val="00A23C6C"/>
    <w:rsid w:val="00A2449C"/>
    <w:rsid w:val="00A25649"/>
    <w:rsid w:val="00A258B8"/>
    <w:rsid w:val="00A318EB"/>
    <w:rsid w:val="00A357EA"/>
    <w:rsid w:val="00A45047"/>
    <w:rsid w:val="00A4758B"/>
    <w:rsid w:val="00A51F7F"/>
    <w:rsid w:val="00A5252D"/>
    <w:rsid w:val="00A53299"/>
    <w:rsid w:val="00A551B9"/>
    <w:rsid w:val="00A56373"/>
    <w:rsid w:val="00A5663A"/>
    <w:rsid w:val="00A56DC7"/>
    <w:rsid w:val="00A56E4A"/>
    <w:rsid w:val="00A64EF5"/>
    <w:rsid w:val="00A66FDD"/>
    <w:rsid w:val="00A671E6"/>
    <w:rsid w:val="00A709E5"/>
    <w:rsid w:val="00A72925"/>
    <w:rsid w:val="00A74FD1"/>
    <w:rsid w:val="00A81E1E"/>
    <w:rsid w:val="00A84A58"/>
    <w:rsid w:val="00A84C2B"/>
    <w:rsid w:val="00A924FB"/>
    <w:rsid w:val="00A929A9"/>
    <w:rsid w:val="00A92F4D"/>
    <w:rsid w:val="00A96594"/>
    <w:rsid w:val="00AA3E7D"/>
    <w:rsid w:val="00AA41BA"/>
    <w:rsid w:val="00AA6D0D"/>
    <w:rsid w:val="00AA6FA3"/>
    <w:rsid w:val="00AC25F0"/>
    <w:rsid w:val="00AC3222"/>
    <w:rsid w:val="00AC428E"/>
    <w:rsid w:val="00AC6FFA"/>
    <w:rsid w:val="00AC7E7D"/>
    <w:rsid w:val="00AD344F"/>
    <w:rsid w:val="00AE1660"/>
    <w:rsid w:val="00AE3AAA"/>
    <w:rsid w:val="00AE4FFD"/>
    <w:rsid w:val="00AE501E"/>
    <w:rsid w:val="00AE6518"/>
    <w:rsid w:val="00AF18D6"/>
    <w:rsid w:val="00AF24FA"/>
    <w:rsid w:val="00AF387F"/>
    <w:rsid w:val="00AF397D"/>
    <w:rsid w:val="00AF5BD4"/>
    <w:rsid w:val="00AF71F6"/>
    <w:rsid w:val="00AF7544"/>
    <w:rsid w:val="00B00E7F"/>
    <w:rsid w:val="00B02187"/>
    <w:rsid w:val="00B02674"/>
    <w:rsid w:val="00B0301E"/>
    <w:rsid w:val="00B13ACE"/>
    <w:rsid w:val="00B14227"/>
    <w:rsid w:val="00B17112"/>
    <w:rsid w:val="00B21055"/>
    <w:rsid w:val="00B21DCC"/>
    <w:rsid w:val="00B2340A"/>
    <w:rsid w:val="00B25F37"/>
    <w:rsid w:val="00B3036A"/>
    <w:rsid w:val="00B36870"/>
    <w:rsid w:val="00B37158"/>
    <w:rsid w:val="00B405B7"/>
    <w:rsid w:val="00B425AA"/>
    <w:rsid w:val="00B43528"/>
    <w:rsid w:val="00B44422"/>
    <w:rsid w:val="00B46EA0"/>
    <w:rsid w:val="00B50BE1"/>
    <w:rsid w:val="00B55714"/>
    <w:rsid w:val="00B55836"/>
    <w:rsid w:val="00B6195D"/>
    <w:rsid w:val="00B66D77"/>
    <w:rsid w:val="00B7244E"/>
    <w:rsid w:val="00B731D3"/>
    <w:rsid w:val="00B75B57"/>
    <w:rsid w:val="00B77424"/>
    <w:rsid w:val="00B811B3"/>
    <w:rsid w:val="00B821A5"/>
    <w:rsid w:val="00B826EF"/>
    <w:rsid w:val="00B839A3"/>
    <w:rsid w:val="00B902BD"/>
    <w:rsid w:val="00B91ACD"/>
    <w:rsid w:val="00B92501"/>
    <w:rsid w:val="00B93698"/>
    <w:rsid w:val="00B93C0B"/>
    <w:rsid w:val="00BA1009"/>
    <w:rsid w:val="00BA14A1"/>
    <w:rsid w:val="00BA3FA7"/>
    <w:rsid w:val="00BA46F5"/>
    <w:rsid w:val="00BA639E"/>
    <w:rsid w:val="00BB0EC9"/>
    <w:rsid w:val="00BB26BD"/>
    <w:rsid w:val="00BB7E32"/>
    <w:rsid w:val="00BC1717"/>
    <w:rsid w:val="00BC1A7C"/>
    <w:rsid w:val="00BC445C"/>
    <w:rsid w:val="00BC6ECA"/>
    <w:rsid w:val="00BD1E09"/>
    <w:rsid w:val="00BD2620"/>
    <w:rsid w:val="00BD2A39"/>
    <w:rsid w:val="00BD2E80"/>
    <w:rsid w:val="00BD2F6D"/>
    <w:rsid w:val="00BD49FF"/>
    <w:rsid w:val="00BD4B64"/>
    <w:rsid w:val="00BD7675"/>
    <w:rsid w:val="00BD77E1"/>
    <w:rsid w:val="00BD784A"/>
    <w:rsid w:val="00BE11B8"/>
    <w:rsid w:val="00BE345A"/>
    <w:rsid w:val="00BE480C"/>
    <w:rsid w:val="00BE73CF"/>
    <w:rsid w:val="00BF7FF0"/>
    <w:rsid w:val="00C023A6"/>
    <w:rsid w:val="00C0338D"/>
    <w:rsid w:val="00C0427C"/>
    <w:rsid w:val="00C05311"/>
    <w:rsid w:val="00C112D1"/>
    <w:rsid w:val="00C11AEA"/>
    <w:rsid w:val="00C11F8D"/>
    <w:rsid w:val="00C12502"/>
    <w:rsid w:val="00C1378E"/>
    <w:rsid w:val="00C145CA"/>
    <w:rsid w:val="00C14C24"/>
    <w:rsid w:val="00C21CD0"/>
    <w:rsid w:val="00C26B3B"/>
    <w:rsid w:val="00C27FC8"/>
    <w:rsid w:val="00C35118"/>
    <w:rsid w:val="00C372B4"/>
    <w:rsid w:val="00C40AA5"/>
    <w:rsid w:val="00C46F70"/>
    <w:rsid w:val="00C476D0"/>
    <w:rsid w:val="00C542D6"/>
    <w:rsid w:val="00C61290"/>
    <w:rsid w:val="00C6434A"/>
    <w:rsid w:val="00C74398"/>
    <w:rsid w:val="00C75FD6"/>
    <w:rsid w:val="00C830B9"/>
    <w:rsid w:val="00C836E3"/>
    <w:rsid w:val="00C836FF"/>
    <w:rsid w:val="00C854DC"/>
    <w:rsid w:val="00C86577"/>
    <w:rsid w:val="00C90080"/>
    <w:rsid w:val="00C90A17"/>
    <w:rsid w:val="00C91C02"/>
    <w:rsid w:val="00C92E07"/>
    <w:rsid w:val="00C92E10"/>
    <w:rsid w:val="00C96868"/>
    <w:rsid w:val="00C96B5A"/>
    <w:rsid w:val="00CA0416"/>
    <w:rsid w:val="00CA5734"/>
    <w:rsid w:val="00CA6962"/>
    <w:rsid w:val="00CB115C"/>
    <w:rsid w:val="00CB6502"/>
    <w:rsid w:val="00CC3764"/>
    <w:rsid w:val="00CC3A35"/>
    <w:rsid w:val="00CC5468"/>
    <w:rsid w:val="00CC560B"/>
    <w:rsid w:val="00CC6D70"/>
    <w:rsid w:val="00CC75E2"/>
    <w:rsid w:val="00CD100F"/>
    <w:rsid w:val="00CD2CA0"/>
    <w:rsid w:val="00CD46EB"/>
    <w:rsid w:val="00CD46F0"/>
    <w:rsid w:val="00CD6494"/>
    <w:rsid w:val="00CD7EBF"/>
    <w:rsid w:val="00CE59AA"/>
    <w:rsid w:val="00CF0E86"/>
    <w:rsid w:val="00CF3F35"/>
    <w:rsid w:val="00CF77AA"/>
    <w:rsid w:val="00D00DFA"/>
    <w:rsid w:val="00D02A0F"/>
    <w:rsid w:val="00D05400"/>
    <w:rsid w:val="00D056F1"/>
    <w:rsid w:val="00D060A2"/>
    <w:rsid w:val="00D06616"/>
    <w:rsid w:val="00D10E9A"/>
    <w:rsid w:val="00D144D7"/>
    <w:rsid w:val="00D15A08"/>
    <w:rsid w:val="00D21BBF"/>
    <w:rsid w:val="00D22DA6"/>
    <w:rsid w:val="00D23DB6"/>
    <w:rsid w:val="00D25002"/>
    <w:rsid w:val="00D2772E"/>
    <w:rsid w:val="00D4306B"/>
    <w:rsid w:val="00D443D3"/>
    <w:rsid w:val="00D4713D"/>
    <w:rsid w:val="00D51A95"/>
    <w:rsid w:val="00D51E57"/>
    <w:rsid w:val="00D60568"/>
    <w:rsid w:val="00D60CCA"/>
    <w:rsid w:val="00D63B33"/>
    <w:rsid w:val="00D70C7A"/>
    <w:rsid w:val="00D72A29"/>
    <w:rsid w:val="00D7357C"/>
    <w:rsid w:val="00D7758F"/>
    <w:rsid w:val="00D834E5"/>
    <w:rsid w:val="00D847B8"/>
    <w:rsid w:val="00D848F3"/>
    <w:rsid w:val="00D96C9C"/>
    <w:rsid w:val="00DA10A8"/>
    <w:rsid w:val="00DA5396"/>
    <w:rsid w:val="00DA58DB"/>
    <w:rsid w:val="00DB123A"/>
    <w:rsid w:val="00DB1E08"/>
    <w:rsid w:val="00DB26D8"/>
    <w:rsid w:val="00DB27A1"/>
    <w:rsid w:val="00DB2973"/>
    <w:rsid w:val="00DB50B1"/>
    <w:rsid w:val="00DB7669"/>
    <w:rsid w:val="00DC0EFC"/>
    <w:rsid w:val="00DC0FBA"/>
    <w:rsid w:val="00DC1B56"/>
    <w:rsid w:val="00DC20CC"/>
    <w:rsid w:val="00DC2129"/>
    <w:rsid w:val="00DC26CA"/>
    <w:rsid w:val="00DC3632"/>
    <w:rsid w:val="00DC470A"/>
    <w:rsid w:val="00DC6570"/>
    <w:rsid w:val="00DD2007"/>
    <w:rsid w:val="00DD265C"/>
    <w:rsid w:val="00DD3703"/>
    <w:rsid w:val="00DD4080"/>
    <w:rsid w:val="00DD5D48"/>
    <w:rsid w:val="00DE5528"/>
    <w:rsid w:val="00DF25C3"/>
    <w:rsid w:val="00DF5CFF"/>
    <w:rsid w:val="00DF72BB"/>
    <w:rsid w:val="00E04062"/>
    <w:rsid w:val="00E063C6"/>
    <w:rsid w:val="00E06ACB"/>
    <w:rsid w:val="00E17AE0"/>
    <w:rsid w:val="00E2003B"/>
    <w:rsid w:val="00E2015F"/>
    <w:rsid w:val="00E220BE"/>
    <w:rsid w:val="00E24161"/>
    <w:rsid w:val="00E26887"/>
    <w:rsid w:val="00E279D8"/>
    <w:rsid w:val="00E30092"/>
    <w:rsid w:val="00E3161B"/>
    <w:rsid w:val="00E319B1"/>
    <w:rsid w:val="00E327A6"/>
    <w:rsid w:val="00E3291F"/>
    <w:rsid w:val="00E3684F"/>
    <w:rsid w:val="00E36EF6"/>
    <w:rsid w:val="00E40EDD"/>
    <w:rsid w:val="00E45FA7"/>
    <w:rsid w:val="00E46E80"/>
    <w:rsid w:val="00E47D3B"/>
    <w:rsid w:val="00E5492F"/>
    <w:rsid w:val="00E572B1"/>
    <w:rsid w:val="00E6369A"/>
    <w:rsid w:val="00E66554"/>
    <w:rsid w:val="00E70A86"/>
    <w:rsid w:val="00E722E7"/>
    <w:rsid w:val="00E73E50"/>
    <w:rsid w:val="00E777EC"/>
    <w:rsid w:val="00E80FCD"/>
    <w:rsid w:val="00E9657D"/>
    <w:rsid w:val="00EA0550"/>
    <w:rsid w:val="00EA5FEB"/>
    <w:rsid w:val="00EA720D"/>
    <w:rsid w:val="00EA7F2F"/>
    <w:rsid w:val="00EB0495"/>
    <w:rsid w:val="00EB6590"/>
    <w:rsid w:val="00EB66E8"/>
    <w:rsid w:val="00EB729A"/>
    <w:rsid w:val="00EC00DE"/>
    <w:rsid w:val="00EC0386"/>
    <w:rsid w:val="00EC21DF"/>
    <w:rsid w:val="00EC2872"/>
    <w:rsid w:val="00EC30E1"/>
    <w:rsid w:val="00EC3436"/>
    <w:rsid w:val="00EC66BB"/>
    <w:rsid w:val="00EC7738"/>
    <w:rsid w:val="00ED172A"/>
    <w:rsid w:val="00ED6D6E"/>
    <w:rsid w:val="00EE01DC"/>
    <w:rsid w:val="00EE4189"/>
    <w:rsid w:val="00EF4DB8"/>
    <w:rsid w:val="00F00F7B"/>
    <w:rsid w:val="00F047AB"/>
    <w:rsid w:val="00F07EF5"/>
    <w:rsid w:val="00F11586"/>
    <w:rsid w:val="00F14AB3"/>
    <w:rsid w:val="00F14BEC"/>
    <w:rsid w:val="00F1744E"/>
    <w:rsid w:val="00F224B7"/>
    <w:rsid w:val="00F225C5"/>
    <w:rsid w:val="00F2587A"/>
    <w:rsid w:val="00F33470"/>
    <w:rsid w:val="00F348BD"/>
    <w:rsid w:val="00F34E02"/>
    <w:rsid w:val="00F3715D"/>
    <w:rsid w:val="00F37A10"/>
    <w:rsid w:val="00F420C8"/>
    <w:rsid w:val="00F42967"/>
    <w:rsid w:val="00F42A4C"/>
    <w:rsid w:val="00F526BD"/>
    <w:rsid w:val="00F53C28"/>
    <w:rsid w:val="00F54FAE"/>
    <w:rsid w:val="00F605C5"/>
    <w:rsid w:val="00F6217E"/>
    <w:rsid w:val="00F634A1"/>
    <w:rsid w:val="00F73A63"/>
    <w:rsid w:val="00F75889"/>
    <w:rsid w:val="00F77B34"/>
    <w:rsid w:val="00F820F0"/>
    <w:rsid w:val="00F840BE"/>
    <w:rsid w:val="00F85FE0"/>
    <w:rsid w:val="00F90C85"/>
    <w:rsid w:val="00F95C8B"/>
    <w:rsid w:val="00FB3871"/>
    <w:rsid w:val="00FB5879"/>
    <w:rsid w:val="00FB7512"/>
    <w:rsid w:val="00FB7EA4"/>
    <w:rsid w:val="00FC1C9A"/>
    <w:rsid w:val="00FC226E"/>
    <w:rsid w:val="00FC4C69"/>
    <w:rsid w:val="00FC5D4A"/>
    <w:rsid w:val="00FC65BA"/>
    <w:rsid w:val="00FC694D"/>
    <w:rsid w:val="00FD6A9A"/>
    <w:rsid w:val="00FD7547"/>
    <w:rsid w:val="00FE287B"/>
    <w:rsid w:val="00FE6B50"/>
    <w:rsid w:val="00FF1B03"/>
    <w:rsid w:val="00FF2BC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C122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2D4A0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C122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2D4A06"/>
    <w:pPr>
      <w:tabs>
        <w:tab w:val="left" w:pos="1134"/>
        <w:tab w:val="right" w:leader="dot" w:pos="9016"/>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 w:type="paragraph" w:customStyle="1" w:styleId="HR">
    <w:name w:val="HR"/>
    <w:aliases w:val="Regulation Heading"/>
    <w:basedOn w:val="Normal"/>
    <w:next w:val="Normal"/>
    <w:rsid w:val="00001991"/>
    <w:pPr>
      <w:keepNext/>
      <w:keepLines/>
      <w:widowControl/>
      <w:spacing w:before="360"/>
      <w:ind w:left="964" w:hanging="964"/>
    </w:pPr>
    <w:rPr>
      <w:b/>
      <w:sz w:val="24"/>
      <w:lang w:val="en-AU" w:eastAsia="en-AU" w:bidi="ar-SA"/>
    </w:rPr>
  </w:style>
  <w:style w:type="paragraph" w:customStyle="1" w:styleId="FSCDraftingitem">
    <w:name w:val="FSC_Drafting_item"/>
    <w:basedOn w:val="Normal"/>
    <w:qFormat/>
    <w:rsid w:val="0000199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01991"/>
    <w:pPr>
      <w:spacing w:before="120" w:after="120"/>
      <w:ind w:left="851" w:hanging="851"/>
    </w:pPr>
    <w:rPr>
      <w:b/>
      <w:sz w:val="20"/>
      <w:szCs w:val="20"/>
      <w:lang w:bidi="ar-SA"/>
    </w:rPr>
  </w:style>
  <w:style w:type="paragraph" w:customStyle="1" w:styleId="FSCtblPara">
    <w:name w:val="FSC_tbl_Para"/>
    <w:basedOn w:val="Normal"/>
    <w:rsid w:val="00001991"/>
    <w:pPr>
      <w:keepLines/>
      <w:widowControl/>
      <w:spacing w:before="60" w:after="60"/>
      <w:ind w:left="397"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95531134">
      <w:bodyDiv w:val="1"/>
      <w:marLeft w:val="0"/>
      <w:marRight w:val="0"/>
      <w:marTop w:val="0"/>
      <w:marBottom w:val="0"/>
      <w:divBdr>
        <w:top w:val="none" w:sz="0" w:space="0" w:color="auto"/>
        <w:left w:val="none" w:sz="0" w:space="0" w:color="auto"/>
        <w:bottom w:val="none" w:sz="0" w:space="0" w:color="auto"/>
        <w:right w:val="none" w:sz="0" w:space="0" w:color="auto"/>
      </w:divBdr>
    </w:div>
    <w:div w:id="332614562">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8349172">
      <w:bodyDiv w:val="1"/>
      <w:marLeft w:val="0"/>
      <w:marRight w:val="0"/>
      <w:marTop w:val="0"/>
      <w:marBottom w:val="0"/>
      <w:divBdr>
        <w:top w:val="none" w:sz="0" w:space="0" w:color="auto"/>
        <w:left w:val="none" w:sz="0" w:space="0" w:color="auto"/>
        <w:bottom w:val="none" w:sz="0" w:space="0" w:color="auto"/>
        <w:right w:val="none" w:sz="0" w:space="0" w:color="auto"/>
      </w:divBdr>
    </w:div>
    <w:div w:id="1241870316">
      <w:bodyDiv w:val="1"/>
      <w:marLeft w:val="0"/>
      <w:marRight w:val="0"/>
      <w:marTop w:val="0"/>
      <w:marBottom w:val="0"/>
      <w:divBdr>
        <w:top w:val="none" w:sz="0" w:space="0" w:color="auto"/>
        <w:left w:val="none" w:sz="0" w:space="0" w:color="auto"/>
        <w:bottom w:val="none" w:sz="0" w:space="0" w:color="auto"/>
        <w:right w:val="none" w:sz="0" w:space="0" w:color="auto"/>
      </w:divBdr>
    </w:div>
    <w:div w:id="159739657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ogtr.gov.au/" TargetMode="External"/><Relationship Id="rId26" Type="http://schemas.openxmlformats.org/officeDocument/2006/relationships/hyperlink" Target="http://www.foodstandards.gov.au/publications/Pages/Safety-Assessment-of-Genetically-Modified-Foods-Guidance-Document-.aspx" TargetMode="External"/><Relationship Id="rId3" Type="http://schemas.openxmlformats.org/officeDocument/2006/relationships/styles" Target="styles.xml"/><Relationship Id="rId21" Type="http://schemas.openxmlformats.org/officeDocument/2006/relationships/hyperlink" Target="http://www.foodstandards.gov.au/consumer/gmfood/pages/roleofanimalfeedings3717.asp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hange.org/" TargetMode="External"/><Relationship Id="rId25" Type="http://schemas.openxmlformats.org/officeDocument/2006/relationships/hyperlink" Target="http://www.codexalimentarius.org/standards/thematic-publications/"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oodstandards.gov.au/code/applications/Pages/A1128GMPotatoE12.aspx" TargetMode="External"/><Relationship Id="rId20" Type="http://schemas.openxmlformats.org/officeDocument/2006/relationships/hyperlink" Target="http://www.foodstandards.gov.au/consumer/gmfood/labelling/Pages/default.aspx" TargetMode="External"/><Relationship Id="rId29" Type="http://schemas.openxmlformats.org/officeDocument/2006/relationships/hyperlink" Target="http://www.oecd.org/futures/long-termtechnologicalsocietalchallenges/4092684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dexalimentarius.net/web/standard_list.do?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nsumer/chemicals/acrylamide/Pages/default.aspx" TargetMode="External"/><Relationship Id="rId28" Type="http://schemas.openxmlformats.org/officeDocument/2006/relationships/hyperlink" Target="http://www.foodstandards.gov.au/code/changes/pages/applicationshandbook.aspx" TargetMode="External"/><Relationship Id="rId10" Type="http://schemas.openxmlformats.org/officeDocument/2006/relationships/header" Target="header1.xml"/><Relationship Id="rId19" Type="http://schemas.openxmlformats.org/officeDocument/2006/relationships/hyperlink" Target="http://www.epa.govt.nz/Pages/default.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publications/Pages/24th-Australian-Total-Diet-Study.aspx" TargetMode="External"/><Relationship Id="rId27" Type="http://schemas.openxmlformats.org/officeDocument/2006/relationships/hyperlink" Target="http://www.foodstandards.gov.au/consumer/gmfood/Pages/Response-to-Heinemann-et-al-on-the-regulation-of-GM-crops-and-foods-developed-using-gene-silencing.aspx" TargetMode="External"/><Relationship Id="rId30" Type="http://schemas.openxmlformats.org/officeDocument/2006/relationships/image" Target="media/image2.png"/><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nsumer/chemicals/acrylamide/Pages/default.aspx" TargetMode="External"/><Relationship Id="rId3" Type="http://schemas.openxmlformats.org/officeDocument/2006/relationships/hyperlink" Target="http://www.ogtr.gov.au/" TargetMode="External"/><Relationship Id="rId7" Type="http://schemas.openxmlformats.org/officeDocument/2006/relationships/hyperlink" Target="http://www.foodstandards.gov.au/publications/Pages/24th-Australian-Total-Diet-Study.aspx" TargetMode="External"/><Relationship Id="rId2" Type="http://schemas.openxmlformats.org/officeDocument/2006/relationships/hyperlink" Target="https://www.change.org/" TargetMode="External"/><Relationship Id="rId1" Type="http://schemas.openxmlformats.org/officeDocument/2006/relationships/hyperlink" Target="http://www.foodstandards.gov.au/code/applications/Pages/A1128GMPotatoE12.aspx" TargetMode="External"/><Relationship Id="rId6" Type="http://schemas.openxmlformats.org/officeDocument/2006/relationships/hyperlink" Target="http://www.foodstandards.gov.au/consumer/gmfood/pages/roleofanimalfeedings3717.aspx" TargetMode="External"/><Relationship Id="rId5" Type="http://schemas.openxmlformats.org/officeDocument/2006/relationships/hyperlink" Target="http://www.foodstandards.gov.au/consumer/gmfood/labelling/Pages/default.aspx" TargetMode="External"/><Relationship Id="rId4" Type="http://schemas.openxmlformats.org/officeDocument/2006/relationships/hyperlink" Target="http://www.epa.govt.nz/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AA846-3401-4D79-99B8-B61D46B937B5}"/>
</file>

<file path=customXml/itemProps2.xml><?xml version="1.0" encoding="utf-8"?>
<ds:datastoreItem xmlns:ds="http://schemas.openxmlformats.org/officeDocument/2006/customXml" ds:itemID="{7A319068-9CAD-47DE-B35E-78760FAF2E33}"/>
</file>

<file path=customXml/itemProps3.xml><?xml version="1.0" encoding="utf-8"?>
<ds:datastoreItem xmlns:ds="http://schemas.openxmlformats.org/officeDocument/2006/customXml" ds:itemID="{12E4332E-EBD9-4A25-8996-45B168A84A23}"/>
</file>

<file path=customXml/itemProps4.xml><?xml version="1.0" encoding="utf-8"?>
<ds:datastoreItem xmlns:ds="http://schemas.openxmlformats.org/officeDocument/2006/customXml" ds:itemID="{33FB741D-887A-447D-B2C5-685A229110FC}"/>
</file>

<file path=docProps/app.xml><?xml version="1.0" encoding="utf-8"?>
<Properties xmlns="http://schemas.openxmlformats.org/officeDocument/2006/extended-properties" xmlns:vt="http://schemas.openxmlformats.org/officeDocument/2006/docPropsVTypes">
  <Template>Normal</Template>
  <TotalTime>0</TotalTime>
  <Pages>20</Pages>
  <Words>8242</Words>
  <Characters>46983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A1128 GM potato E12 AppR</dc:title>
  <dc:creator/>
  <cp:lastModifiedBy/>
  <cp:revision>1</cp:revision>
  <dcterms:created xsi:type="dcterms:W3CDTF">2016-12-07T01:03:00Z</dcterms:created>
  <dcterms:modified xsi:type="dcterms:W3CDTF">2016-12-07T01:03:00Z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